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198B7" w14:textId="199D97FD" w:rsidR="001F05BF" w:rsidRDefault="001F05BF" w:rsidP="001F05BF">
      <w:pPr>
        <w:spacing w:line="278" w:lineRule="auto"/>
        <w:rPr>
          <w:rFonts w:asciiTheme="majorHAnsi" w:eastAsiaTheme="majorEastAsia" w:hAnsiTheme="majorHAnsi" w:cstheme="majorBidi"/>
          <w:color w:val="0F4761" w:themeColor="accent1" w:themeShade="BF"/>
          <w:sz w:val="40"/>
          <w:szCs w:val="40"/>
        </w:rPr>
      </w:pPr>
      <w:bookmarkStart w:id="0" w:name="_Toc203731802"/>
    </w:p>
    <w:bookmarkEnd w:id="0"/>
    <w:p w14:paraId="6FDC8C67" w14:textId="77777777" w:rsidR="001F05BF" w:rsidRDefault="001F05BF" w:rsidP="001F05BF">
      <w:pPr>
        <w:jc w:val="center"/>
      </w:pPr>
    </w:p>
    <w:p w14:paraId="7B034925" w14:textId="77777777" w:rsidR="001F05BF" w:rsidRDefault="001F05BF" w:rsidP="001F05BF">
      <w:pPr>
        <w:jc w:val="center"/>
      </w:pPr>
    </w:p>
    <w:p w14:paraId="481A08DA" w14:textId="77777777" w:rsidR="001F05BF" w:rsidRPr="006F5869" w:rsidRDefault="001F05BF" w:rsidP="001F05BF">
      <w:pPr>
        <w:jc w:val="center"/>
      </w:pPr>
      <w:r w:rsidRPr="006F5869">
        <w:rPr>
          <w:noProof/>
        </w:rPr>
        <w:drawing>
          <wp:inline distT="0" distB="0" distL="0" distR="0" wp14:anchorId="4D0C12B6" wp14:editId="6336BA5D">
            <wp:extent cx="2715768" cy="2709258"/>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5768" cy="2709258"/>
                    </a:xfrm>
                    <a:prstGeom prst="rect">
                      <a:avLst/>
                    </a:prstGeom>
                  </pic:spPr>
                </pic:pic>
              </a:graphicData>
            </a:graphic>
          </wp:inline>
        </w:drawing>
      </w:r>
    </w:p>
    <w:p w14:paraId="29D26924" w14:textId="77777777" w:rsidR="001F05BF" w:rsidRPr="006F5869" w:rsidRDefault="001F05BF" w:rsidP="001F05BF">
      <w:pPr>
        <w:jc w:val="center"/>
      </w:pPr>
    </w:p>
    <w:p w14:paraId="08184AAC" w14:textId="77777777" w:rsidR="001F05BF" w:rsidRPr="006F5869" w:rsidRDefault="001F05BF" w:rsidP="001F05BF">
      <w:pPr>
        <w:jc w:val="center"/>
      </w:pPr>
    </w:p>
    <w:p w14:paraId="26F54BA1" w14:textId="77777777" w:rsidR="001F05BF" w:rsidRPr="006F5869" w:rsidRDefault="001F05BF" w:rsidP="001F05BF">
      <w:pPr>
        <w:jc w:val="center"/>
      </w:pPr>
    </w:p>
    <w:p w14:paraId="2B631A3C" w14:textId="77777777" w:rsidR="001F05BF" w:rsidRPr="006F5869" w:rsidRDefault="001F05BF" w:rsidP="001F05BF">
      <w:pPr>
        <w:jc w:val="center"/>
      </w:pPr>
    </w:p>
    <w:p w14:paraId="13F232DC" w14:textId="037C324F" w:rsidR="001F05BF" w:rsidRPr="009777E3" w:rsidRDefault="001F05BF" w:rsidP="001F05BF">
      <w:pPr>
        <w:pStyle w:val="Title"/>
        <w:jc w:val="center"/>
        <w:rPr>
          <w:b/>
          <w:bCs/>
          <w:sz w:val="36"/>
          <w:szCs w:val="36"/>
        </w:rPr>
      </w:pPr>
      <w:r>
        <w:rPr>
          <w:b/>
          <w:bCs/>
          <w:sz w:val="36"/>
          <w:szCs w:val="36"/>
        </w:rPr>
        <w:t>Model Pharmacist Practice Act</w:t>
      </w:r>
    </w:p>
    <w:p w14:paraId="4D95EB34" w14:textId="4F51E685" w:rsidR="001F05BF" w:rsidRPr="009777E3" w:rsidRDefault="001F05BF" w:rsidP="001F05BF">
      <w:pPr>
        <w:pStyle w:val="Title"/>
        <w:contextualSpacing w:val="0"/>
        <w:rPr>
          <w:b/>
          <w:bCs/>
        </w:rPr>
      </w:pPr>
    </w:p>
    <w:p w14:paraId="0B6CF619" w14:textId="77777777" w:rsidR="001F05BF" w:rsidRPr="009777E3" w:rsidRDefault="001F05BF" w:rsidP="001F05BF">
      <w:pPr>
        <w:pStyle w:val="Title"/>
        <w:contextualSpacing w:val="0"/>
        <w:jc w:val="center"/>
        <w:rPr>
          <w:rFonts w:cs="Arial"/>
          <w:b/>
          <w:bCs/>
          <w:sz w:val="36"/>
          <w:szCs w:val="36"/>
        </w:rPr>
      </w:pPr>
      <w:r w:rsidRPr="009777E3">
        <w:rPr>
          <w:rFonts w:cs="Arial"/>
          <w:b/>
          <w:bCs/>
          <w:sz w:val="36"/>
          <w:szCs w:val="36"/>
        </w:rPr>
        <w:t>August 2026</w:t>
      </w:r>
    </w:p>
    <w:p w14:paraId="6E29C624" w14:textId="77777777" w:rsidR="001F05BF" w:rsidRPr="009777E3" w:rsidRDefault="001F05BF" w:rsidP="001F05BF">
      <w:pPr>
        <w:pStyle w:val="Title"/>
        <w:jc w:val="center"/>
        <w:rPr>
          <w:rFonts w:ascii="Arial" w:hAnsi="Arial" w:cs="Arial"/>
          <w:b/>
          <w:bCs/>
          <w:sz w:val="36"/>
          <w:szCs w:val="36"/>
        </w:rPr>
      </w:pPr>
      <w:r w:rsidRPr="006F5869">
        <w:br w:type="page"/>
      </w:r>
      <w:r w:rsidRPr="009777E3">
        <w:rPr>
          <w:rFonts w:ascii="Arial" w:hAnsi="Arial" w:cs="Arial"/>
          <w:b/>
          <w:bCs/>
          <w:sz w:val="36"/>
          <w:szCs w:val="36"/>
        </w:rPr>
        <w:lastRenderedPageBreak/>
        <w:t>Mission Statement of the</w:t>
      </w:r>
    </w:p>
    <w:p w14:paraId="53A34199" w14:textId="77777777" w:rsidR="001F05BF" w:rsidRPr="009777E3" w:rsidRDefault="001F05BF" w:rsidP="001F05BF">
      <w:pPr>
        <w:pStyle w:val="Title"/>
        <w:jc w:val="center"/>
        <w:rPr>
          <w:rFonts w:ascii="Arial" w:hAnsi="Arial" w:cs="Arial"/>
          <w:b/>
          <w:bCs/>
          <w:sz w:val="36"/>
          <w:szCs w:val="36"/>
        </w:rPr>
      </w:pPr>
      <w:r w:rsidRPr="009777E3">
        <w:rPr>
          <w:rFonts w:ascii="Arial" w:hAnsi="Arial" w:cs="Arial"/>
          <w:b/>
          <w:bCs/>
          <w:sz w:val="36"/>
          <w:szCs w:val="36"/>
        </w:rPr>
        <w:t>National Association of Boards of Pharmacy</w:t>
      </w:r>
    </w:p>
    <w:p w14:paraId="3918616D" w14:textId="77777777" w:rsidR="001F05BF" w:rsidRPr="00B23C9C" w:rsidRDefault="001F05BF" w:rsidP="001F05BF">
      <w:pPr>
        <w:pStyle w:val="Heading2"/>
        <w:rPr>
          <w:sz w:val="6"/>
          <w:szCs w:val="2"/>
        </w:rPr>
      </w:pPr>
    </w:p>
    <w:p w14:paraId="775E5A14" w14:textId="77777777" w:rsidR="001F05BF" w:rsidRPr="00457EC9" w:rsidRDefault="001F05BF" w:rsidP="001F05BF">
      <w:pPr>
        <w:pStyle w:val="BodyText"/>
        <w:jc w:val="center"/>
        <w:rPr>
          <w:b/>
          <w:bCs/>
          <w:i/>
          <w:iCs/>
          <w:sz w:val="28"/>
          <w:szCs w:val="24"/>
        </w:rPr>
      </w:pPr>
      <w:r w:rsidRPr="00457EC9">
        <w:rPr>
          <w:b/>
          <w:bCs/>
          <w:i/>
          <w:iCs/>
          <w:sz w:val="28"/>
          <w:szCs w:val="24"/>
        </w:rPr>
        <w:t>NABP Mission Statement</w:t>
      </w:r>
    </w:p>
    <w:p w14:paraId="79B2960A" w14:textId="77777777" w:rsidR="001F05BF" w:rsidRPr="00A86CEC" w:rsidRDefault="001F05BF" w:rsidP="001F05BF">
      <w:pPr>
        <w:jc w:val="center"/>
        <w:rPr>
          <w:rFonts w:ascii="Aptos" w:hAnsi="Aptos" w:cs="Arial"/>
          <w:sz w:val="24"/>
        </w:rPr>
      </w:pPr>
      <w:r w:rsidRPr="00A86CEC">
        <w:rPr>
          <w:rFonts w:ascii="Aptos" w:hAnsi="Aptos" w:cs="Arial"/>
          <w:sz w:val="24"/>
        </w:rPr>
        <w:t>The National Association of Boards of Pharmacy (NABP) is the independent, international, and impartial Association that assists its member boards in protecting the public health.</w:t>
      </w:r>
    </w:p>
    <w:p w14:paraId="533309AC" w14:textId="77777777" w:rsidR="001F05BF" w:rsidRPr="00457EC9" w:rsidRDefault="001F05BF" w:rsidP="001F05BF">
      <w:pPr>
        <w:pStyle w:val="BodyText"/>
        <w:jc w:val="center"/>
        <w:rPr>
          <w:b/>
          <w:bCs/>
          <w:i/>
          <w:iCs/>
          <w:sz w:val="28"/>
          <w:szCs w:val="24"/>
        </w:rPr>
      </w:pPr>
      <w:r w:rsidRPr="00457EC9">
        <w:rPr>
          <w:b/>
          <w:bCs/>
          <w:i/>
          <w:iCs/>
          <w:sz w:val="28"/>
          <w:szCs w:val="24"/>
        </w:rPr>
        <w:t>Vision Statement</w:t>
      </w:r>
    </w:p>
    <w:p w14:paraId="6806F80E" w14:textId="77777777" w:rsidR="001F05BF" w:rsidRPr="00A86CEC" w:rsidRDefault="001F05BF" w:rsidP="001F05BF">
      <w:pPr>
        <w:jc w:val="center"/>
        <w:rPr>
          <w:rFonts w:ascii="Aptos" w:hAnsi="Aptos" w:cs="Arial"/>
          <w:sz w:val="24"/>
        </w:rPr>
      </w:pPr>
      <w:r w:rsidRPr="00A86CEC">
        <w:rPr>
          <w:rFonts w:ascii="Aptos" w:hAnsi="Aptos" w:cs="Arial"/>
          <w:sz w:val="24"/>
        </w:rPr>
        <w:t>In</w:t>
      </w:r>
      <w:r w:rsidRPr="00A86CEC">
        <w:rPr>
          <w:rFonts w:ascii="Aptos" w:hAnsi="Aptos" w:cs="Arial"/>
          <w:b/>
          <w:bCs/>
          <w:sz w:val="24"/>
        </w:rPr>
        <w:t>n</w:t>
      </w:r>
      <w:r w:rsidRPr="00A86CEC">
        <w:rPr>
          <w:rFonts w:ascii="Aptos" w:hAnsi="Aptos" w:cs="Arial"/>
          <w:sz w:val="24"/>
        </w:rPr>
        <w:t xml:space="preserve">ovating </w:t>
      </w:r>
      <w:r w:rsidRPr="00A86CEC">
        <w:rPr>
          <w:rFonts w:ascii="Aptos" w:hAnsi="Aptos" w:cs="Arial"/>
          <w:b/>
          <w:bCs/>
          <w:sz w:val="24"/>
        </w:rPr>
        <w:t>a</w:t>
      </w:r>
      <w:r w:rsidRPr="00A86CEC">
        <w:rPr>
          <w:rFonts w:ascii="Aptos" w:hAnsi="Aptos" w:cs="Arial"/>
          <w:sz w:val="24"/>
        </w:rPr>
        <w:t>nd colla</w:t>
      </w:r>
      <w:r w:rsidRPr="00A86CEC">
        <w:rPr>
          <w:rFonts w:ascii="Aptos" w:hAnsi="Aptos" w:cs="Arial"/>
          <w:b/>
          <w:bCs/>
          <w:sz w:val="24"/>
        </w:rPr>
        <w:t>b</w:t>
      </w:r>
      <w:r w:rsidRPr="00A86CEC">
        <w:rPr>
          <w:rFonts w:ascii="Aptos" w:hAnsi="Aptos" w:cs="Arial"/>
          <w:sz w:val="24"/>
        </w:rPr>
        <w:t xml:space="preserve">orating today for </w:t>
      </w:r>
      <w:proofErr w:type="gramStart"/>
      <w:r w:rsidRPr="00A86CEC">
        <w:rPr>
          <w:rFonts w:ascii="Aptos" w:hAnsi="Aptos" w:cs="Arial"/>
          <w:sz w:val="24"/>
        </w:rPr>
        <w:t>a safer</w:t>
      </w:r>
      <w:proofErr w:type="gramEnd"/>
      <w:r w:rsidRPr="00A86CEC">
        <w:rPr>
          <w:rFonts w:ascii="Aptos" w:hAnsi="Aptos" w:cs="Arial"/>
          <w:sz w:val="24"/>
        </w:rPr>
        <w:t xml:space="preserve"> </w:t>
      </w:r>
      <w:r w:rsidRPr="00A86CEC">
        <w:rPr>
          <w:rFonts w:ascii="Aptos" w:hAnsi="Aptos" w:cs="Arial"/>
          <w:b/>
          <w:bCs/>
          <w:sz w:val="24"/>
        </w:rPr>
        <w:t>p</w:t>
      </w:r>
      <w:r w:rsidRPr="00A86CEC">
        <w:rPr>
          <w:rFonts w:ascii="Aptos" w:hAnsi="Aptos" w:cs="Arial"/>
          <w:sz w:val="24"/>
        </w:rPr>
        <w:t>ublic health tomorrow.</w:t>
      </w:r>
    </w:p>
    <w:p w14:paraId="6E67127D" w14:textId="77777777" w:rsidR="001F05BF" w:rsidRDefault="001F05BF" w:rsidP="001F05BF">
      <w:pPr>
        <w:pStyle w:val="Heading2"/>
      </w:pPr>
    </w:p>
    <w:p w14:paraId="033D4AB6" w14:textId="77777777" w:rsidR="001F05BF" w:rsidRPr="00457EC9" w:rsidRDefault="001F05BF" w:rsidP="001F05BF">
      <w:pPr>
        <w:pStyle w:val="BodyText"/>
        <w:jc w:val="center"/>
        <w:rPr>
          <w:b/>
          <w:bCs/>
          <w:i/>
          <w:iCs/>
          <w:sz w:val="28"/>
          <w:szCs w:val="24"/>
        </w:rPr>
      </w:pPr>
      <w:r w:rsidRPr="04E516F6">
        <w:rPr>
          <w:b/>
          <w:bCs/>
          <w:i/>
          <w:iCs/>
          <w:sz w:val="28"/>
          <w:szCs w:val="28"/>
        </w:rPr>
        <w:t>NABP Member Boards of Pharmacy</w:t>
      </w:r>
    </w:p>
    <w:p w14:paraId="6167E0FC" w14:textId="3E52470F" w:rsidR="001F05BF" w:rsidRPr="006F5869" w:rsidRDefault="00084E91" w:rsidP="00570ADD">
      <w:pPr>
        <w:jc w:val="center"/>
      </w:pPr>
      <w:r>
        <w:rPr>
          <w:rStyle w:val="wacimagecontainer"/>
          <w:rFonts w:ascii="Segoe UI" w:hAnsi="Segoe UI" w:cs="Segoe UI"/>
          <w:noProof/>
          <w:color w:val="D13438"/>
          <w:sz w:val="18"/>
          <w:szCs w:val="18"/>
          <w:u w:val="single"/>
          <w:shd w:val="clear" w:color="auto" w:fill="FFFFFF"/>
        </w:rPr>
        <w:drawing>
          <wp:inline distT="0" distB="0" distL="0" distR="0" wp14:anchorId="60DB6907" wp14:editId="5C591845">
            <wp:extent cx="5486400" cy="434784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4347845"/>
                    </a:xfrm>
                    <a:prstGeom prst="rect">
                      <a:avLst/>
                    </a:prstGeom>
                    <a:noFill/>
                    <a:ln>
                      <a:noFill/>
                    </a:ln>
                  </pic:spPr>
                </pic:pic>
              </a:graphicData>
            </a:graphic>
          </wp:inline>
        </w:drawing>
      </w:r>
    </w:p>
    <w:p w14:paraId="692F1E94" w14:textId="77777777" w:rsidR="001F05BF" w:rsidRPr="006F5869" w:rsidRDefault="001F05BF" w:rsidP="001F05BF"/>
    <w:p w14:paraId="4FB50E59" w14:textId="77777777" w:rsidR="001F05BF" w:rsidRPr="006F5869" w:rsidRDefault="001F05BF" w:rsidP="001F05BF"/>
    <w:p w14:paraId="6FF44C76" w14:textId="77777777" w:rsidR="001F05BF" w:rsidRDefault="001F05BF" w:rsidP="001F05BF">
      <w:r>
        <w:br w:type="page"/>
      </w:r>
    </w:p>
    <w:p w14:paraId="0A264CCC" w14:textId="77777777" w:rsidR="001F05BF" w:rsidRDefault="001F05BF" w:rsidP="001F05BF">
      <w:pPr>
        <w:pStyle w:val="Title"/>
        <w:jc w:val="center"/>
        <w:rPr>
          <w:b/>
          <w:bCs/>
          <w:sz w:val="36"/>
          <w:szCs w:val="36"/>
        </w:rPr>
      </w:pPr>
    </w:p>
    <w:p w14:paraId="7A5CE062" w14:textId="77777777" w:rsidR="001F05BF" w:rsidRDefault="001F05BF" w:rsidP="001F05BF">
      <w:pPr>
        <w:pStyle w:val="Title"/>
        <w:jc w:val="center"/>
        <w:rPr>
          <w:b/>
          <w:bCs/>
          <w:sz w:val="36"/>
          <w:szCs w:val="36"/>
        </w:rPr>
      </w:pPr>
    </w:p>
    <w:p w14:paraId="58190B3B" w14:textId="7B4FB505" w:rsidR="001F05BF" w:rsidRPr="009777E3" w:rsidRDefault="001F05BF" w:rsidP="001F05BF">
      <w:pPr>
        <w:pStyle w:val="Title"/>
        <w:jc w:val="center"/>
        <w:rPr>
          <w:b/>
          <w:bCs/>
          <w:sz w:val="36"/>
          <w:szCs w:val="36"/>
        </w:rPr>
      </w:pPr>
      <w:r>
        <w:rPr>
          <w:b/>
          <w:bCs/>
          <w:sz w:val="36"/>
          <w:szCs w:val="36"/>
        </w:rPr>
        <w:t>Model Pharmacist Practice Act</w:t>
      </w:r>
    </w:p>
    <w:p w14:paraId="53D0CB8C" w14:textId="77777777" w:rsidR="001F05BF" w:rsidRPr="009777E3" w:rsidRDefault="001F05BF" w:rsidP="001F05BF">
      <w:pPr>
        <w:pStyle w:val="Title"/>
        <w:jc w:val="center"/>
        <w:rPr>
          <w:rFonts w:cs="Arial"/>
          <w:b/>
          <w:bCs/>
          <w:sz w:val="36"/>
          <w:szCs w:val="36"/>
        </w:rPr>
      </w:pPr>
    </w:p>
    <w:p w14:paraId="0C1D9008" w14:textId="77777777" w:rsidR="001F05BF" w:rsidRPr="009777E3" w:rsidRDefault="001F05BF" w:rsidP="001F05BF">
      <w:pPr>
        <w:pStyle w:val="Title"/>
        <w:jc w:val="center"/>
      </w:pPr>
      <w:r w:rsidRPr="009777E3">
        <w:rPr>
          <w:rFonts w:cs="Arial"/>
          <w:b/>
          <w:bCs/>
          <w:sz w:val="36"/>
          <w:szCs w:val="36"/>
        </w:rPr>
        <w:t>August 2026</w:t>
      </w:r>
    </w:p>
    <w:p w14:paraId="652B3209" w14:textId="77777777" w:rsidR="001F05BF" w:rsidRPr="006F5869" w:rsidRDefault="001F05BF" w:rsidP="001F05BF"/>
    <w:p w14:paraId="452B66C6" w14:textId="77777777" w:rsidR="001F05BF" w:rsidRDefault="001F05BF" w:rsidP="001F05BF"/>
    <w:p w14:paraId="2D129C2A" w14:textId="77777777" w:rsidR="001F05BF" w:rsidRDefault="001F05BF" w:rsidP="001F05BF"/>
    <w:p w14:paraId="3DFDAFC1" w14:textId="77777777" w:rsidR="001F05BF" w:rsidRDefault="001F05BF" w:rsidP="001F05BF"/>
    <w:p w14:paraId="484C574E" w14:textId="77777777" w:rsidR="001F05BF" w:rsidRDefault="001F05BF" w:rsidP="001F05BF"/>
    <w:p w14:paraId="33BE1D29" w14:textId="77777777" w:rsidR="001F05BF" w:rsidRDefault="001F05BF" w:rsidP="001F05BF"/>
    <w:p w14:paraId="1F716EDC" w14:textId="77777777" w:rsidR="001F05BF" w:rsidRDefault="001F05BF" w:rsidP="001F05BF"/>
    <w:p w14:paraId="5DB6B3E7" w14:textId="77777777" w:rsidR="001F05BF" w:rsidRPr="006F5869" w:rsidRDefault="001F05BF" w:rsidP="001F05BF"/>
    <w:p w14:paraId="452097C8" w14:textId="77777777" w:rsidR="001F05BF" w:rsidRPr="00A86CEC" w:rsidRDefault="001F05BF" w:rsidP="001F05BF">
      <w:pPr>
        <w:rPr>
          <w:rFonts w:ascii="Aptos" w:hAnsi="Aptos"/>
          <w:sz w:val="24"/>
          <w:szCs w:val="24"/>
        </w:rPr>
      </w:pPr>
    </w:p>
    <w:p w14:paraId="0E6BBEF5" w14:textId="77777777" w:rsidR="001F05BF" w:rsidRPr="00A86CEC" w:rsidRDefault="001F05BF" w:rsidP="001F05BF">
      <w:pPr>
        <w:spacing w:after="120"/>
        <w:jc w:val="center"/>
        <w:rPr>
          <w:rFonts w:ascii="Aptos" w:hAnsi="Aptos" w:cs="Arial"/>
          <w:b/>
          <w:bCs/>
          <w:sz w:val="24"/>
          <w:szCs w:val="24"/>
        </w:rPr>
      </w:pPr>
      <w:r w:rsidRPr="00A86CEC">
        <w:rPr>
          <w:rFonts w:ascii="Aptos" w:hAnsi="Aptos" w:cs="Arial"/>
          <w:b/>
          <w:bCs/>
          <w:sz w:val="24"/>
          <w:szCs w:val="24"/>
        </w:rPr>
        <w:t>Published by:</w:t>
      </w:r>
    </w:p>
    <w:p w14:paraId="568974AD" w14:textId="77777777" w:rsidR="001F05BF" w:rsidRPr="00A86CEC" w:rsidRDefault="001F05BF" w:rsidP="001F05BF">
      <w:pPr>
        <w:jc w:val="center"/>
        <w:rPr>
          <w:rFonts w:ascii="Aptos" w:hAnsi="Aptos" w:cs="Arial"/>
          <w:sz w:val="24"/>
          <w:szCs w:val="24"/>
        </w:rPr>
      </w:pPr>
      <w:r w:rsidRPr="00A86CEC">
        <w:rPr>
          <w:rFonts w:ascii="Aptos" w:hAnsi="Aptos" w:cs="Arial"/>
          <w:sz w:val="24"/>
          <w:szCs w:val="24"/>
        </w:rPr>
        <w:t>National Association of Boards of Pharmacy</w:t>
      </w:r>
      <w:r w:rsidRPr="00A86CEC">
        <w:rPr>
          <w:rFonts w:ascii="Aptos" w:hAnsi="Aptos" w:cs="Arial"/>
          <w:sz w:val="24"/>
          <w:szCs w:val="24"/>
        </w:rPr>
        <w:br/>
        <w:t>1600 Feehanville Drive</w:t>
      </w:r>
      <w:r w:rsidRPr="00A86CEC">
        <w:rPr>
          <w:rFonts w:ascii="Aptos" w:hAnsi="Aptos" w:cs="Arial"/>
          <w:sz w:val="24"/>
          <w:szCs w:val="24"/>
        </w:rPr>
        <w:br/>
        <w:t>Mount Prospect, IL 60056</w:t>
      </w:r>
      <w:r w:rsidRPr="00A86CEC">
        <w:rPr>
          <w:rFonts w:ascii="Aptos" w:hAnsi="Aptos" w:cs="Arial"/>
          <w:sz w:val="24"/>
          <w:szCs w:val="24"/>
        </w:rPr>
        <w:br/>
        <w:t>847/391-4406</w:t>
      </w:r>
    </w:p>
    <w:p w14:paraId="724DE91C" w14:textId="77777777" w:rsidR="001F05BF" w:rsidRPr="00A86CEC" w:rsidRDefault="001F05BF" w:rsidP="001F05BF">
      <w:pPr>
        <w:jc w:val="center"/>
        <w:rPr>
          <w:rFonts w:ascii="Aptos" w:hAnsi="Aptos" w:cs="Arial"/>
          <w:sz w:val="24"/>
          <w:szCs w:val="24"/>
        </w:rPr>
      </w:pPr>
      <w:r w:rsidRPr="00A86CEC">
        <w:rPr>
          <w:rFonts w:ascii="Aptos" w:hAnsi="Aptos" w:cs="Arial"/>
          <w:sz w:val="24"/>
          <w:szCs w:val="24"/>
        </w:rPr>
        <w:t>Lemrey “Al” Carter, PharmD, MS, RPh</w:t>
      </w:r>
      <w:r w:rsidRPr="00A86CEC">
        <w:rPr>
          <w:rFonts w:ascii="Aptos" w:hAnsi="Aptos" w:cs="Arial"/>
          <w:sz w:val="24"/>
          <w:szCs w:val="24"/>
        </w:rPr>
        <w:br/>
        <w:t>Executive Director/Secretary</w:t>
      </w:r>
    </w:p>
    <w:p w14:paraId="31F4D654" w14:textId="77777777" w:rsidR="001F05BF" w:rsidRPr="00A86CEC" w:rsidRDefault="001F05BF" w:rsidP="001F05BF">
      <w:pPr>
        <w:rPr>
          <w:rFonts w:ascii="Aptos" w:hAnsi="Aptos"/>
          <w:sz w:val="24"/>
          <w:szCs w:val="24"/>
        </w:rPr>
      </w:pPr>
    </w:p>
    <w:p w14:paraId="18CF116F" w14:textId="77777777" w:rsidR="001F05BF" w:rsidRPr="00A86CEC" w:rsidRDefault="001F05BF" w:rsidP="001F05BF">
      <w:pPr>
        <w:rPr>
          <w:rFonts w:ascii="Aptos" w:hAnsi="Aptos"/>
          <w:sz w:val="24"/>
          <w:szCs w:val="24"/>
        </w:rPr>
      </w:pPr>
    </w:p>
    <w:p w14:paraId="2E604D1C" w14:textId="77777777" w:rsidR="001F05BF" w:rsidRPr="00A86CEC" w:rsidRDefault="001F05BF" w:rsidP="001F05BF">
      <w:pPr>
        <w:rPr>
          <w:rFonts w:ascii="Aptos" w:hAnsi="Aptos"/>
          <w:sz w:val="24"/>
          <w:szCs w:val="24"/>
        </w:rPr>
      </w:pPr>
    </w:p>
    <w:p w14:paraId="3F7B078F" w14:textId="77777777" w:rsidR="001F05BF" w:rsidRPr="00A86CEC" w:rsidRDefault="001F05BF" w:rsidP="001F05BF">
      <w:pPr>
        <w:rPr>
          <w:rFonts w:ascii="Aptos" w:hAnsi="Aptos"/>
          <w:sz w:val="24"/>
          <w:szCs w:val="24"/>
        </w:rPr>
      </w:pPr>
    </w:p>
    <w:p w14:paraId="30D5F95D" w14:textId="77777777" w:rsidR="001F05BF" w:rsidRPr="00A86CEC" w:rsidRDefault="001F05BF" w:rsidP="001F05BF">
      <w:pPr>
        <w:pStyle w:val="BodyText"/>
        <w:rPr>
          <w:rFonts w:ascii="Aptos" w:hAnsi="Aptos"/>
          <w:sz w:val="24"/>
          <w:szCs w:val="24"/>
        </w:rPr>
      </w:pPr>
      <w:r w:rsidRPr="00A86CEC">
        <w:rPr>
          <w:rFonts w:ascii="Aptos" w:hAnsi="Aptos"/>
          <w:sz w:val="24"/>
          <w:szCs w:val="24"/>
        </w:rPr>
        <w:t>© 2026, National Association of Boards of Pharmacy. All rights reserved.</w:t>
      </w:r>
    </w:p>
    <w:p w14:paraId="1BCC34E3" w14:textId="77777777" w:rsidR="001F05BF" w:rsidRPr="00A86CEC" w:rsidRDefault="001F05BF" w:rsidP="001F05BF">
      <w:pPr>
        <w:pStyle w:val="BodyText"/>
        <w:rPr>
          <w:rFonts w:ascii="Aptos" w:hAnsi="Aptos"/>
          <w:sz w:val="24"/>
          <w:szCs w:val="24"/>
        </w:rPr>
      </w:pPr>
      <w:r w:rsidRPr="00A86CEC">
        <w:rPr>
          <w:rFonts w:ascii="Aptos" w:hAnsi="Aptos"/>
          <w:sz w:val="24"/>
          <w:szCs w:val="24"/>
        </w:rPr>
        <w:t xml:space="preserve">No part of this publication may be reproduced in any manner without the written permission of the executive director/secretary of the National Association of Boards of Pharmacy. Violation of the copyright will lead to prosecution under federal copyright laws. </w:t>
      </w:r>
    </w:p>
    <w:p w14:paraId="7D8CAF78" w14:textId="4EA2C5C8" w:rsidR="001F05BF" w:rsidRPr="00A86CEC" w:rsidRDefault="001F05BF">
      <w:pPr>
        <w:spacing w:line="278" w:lineRule="auto"/>
        <w:rPr>
          <w:rFonts w:ascii="Aptos" w:hAnsi="Aptos" w:cs="Arial"/>
          <w:bCs/>
          <w:color w:val="000000" w:themeColor="text1"/>
          <w:sz w:val="24"/>
          <w:szCs w:val="24"/>
        </w:rPr>
      </w:pPr>
      <w:r w:rsidRPr="00A86CEC">
        <w:rPr>
          <w:rFonts w:ascii="Aptos" w:hAnsi="Aptos" w:cs="Arial"/>
          <w:bCs/>
          <w:color w:val="000000" w:themeColor="text1"/>
          <w:sz w:val="24"/>
          <w:szCs w:val="24"/>
        </w:rPr>
        <w:br w:type="page"/>
      </w:r>
    </w:p>
    <w:sdt>
      <w:sdtPr>
        <w:rPr>
          <w:rFonts w:asciiTheme="minorHAnsi" w:eastAsiaTheme="minorHAnsi" w:hAnsiTheme="minorHAnsi" w:cstheme="minorBidi"/>
          <w:color w:val="auto"/>
          <w:sz w:val="22"/>
          <w:szCs w:val="22"/>
        </w:rPr>
        <w:id w:val="1029683478"/>
        <w:docPartObj>
          <w:docPartGallery w:val="Table of Contents"/>
          <w:docPartUnique/>
        </w:docPartObj>
      </w:sdtPr>
      <w:sdtEndPr>
        <w:rPr>
          <w:b/>
          <w:bCs/>
          <w:noProof/>
        </w:rPr>
      </w:sdtEndPr>
      <w:sdtContent>
        <w:p w14:paraId="3FB15611" w14:textId="39760B2C" w:rsidR="00A549B7" w:rsidRDefault="00A549B7" w:rsidP="00A549B7">
          <w:pPr>
            <w:pStyle w:val="TOCHeading"/>
          </w:pPr>
        </w:p>
        <w:p w14:paraId="386FA877" w14:textId="17831E9D" w:rsidR="00A94874" w:rsidRDefault="00A549B7">
          <w:pPr>
            <w:pStyle w:val="TOC1"/>
            <w:tabs>
              <w:tab w:val="right" w:leader="dot" w:pos="9350"/>
            </w:tabs>
            <w:rPr>
              <w:rFonts w:eastAsiaTheme="minorEastAsia"/>
              <w:noProof/>
              <w:kern w:val="2"/>
              <w:sz w:val="24"/>
              <w:szCs w:val="24"/>
              <w14:ligatures w14:val="standardContextual"/>
            </w:rPr>
          </w:pPr>
          <w:r w:rsidRPr="00A86CEC">
            <w:rPr>
              <w:sz w:val="24"/>
              <w:szCs w:val="24"/>
            </w:rPr>
            <w:fldChar w:fldCharType="begin"/>
          </w:r>
          <w:r w:rsidRPr="00A86CEC">
            <w:rPr>
              <w:sz w:val="24"/>
              <w:szCs w:val="24"/>
            </w:rPr>
            <w:instrText xml:space="preserve"> TOC \o "1-3" \h \z \u </w:instrText>
          </w:r>
          <w:r w:rsidRPr="00A86CEC">
            <w:rPr>
              <w:sz w:val="24"/>
              <w:szCs w:val="24"/>
            </w:rPr>
            <w:fldChar w:fldCharType="separate"/>
          </w:r>
          <w:hyperlink w:anchor="_Toc233895273" w:history="1">
            <w:r w:rsidR="00A94874" w:rsidRPr="00D06E61">
              <w:rPr>
                <w:rStyle w:val="Hyperlink"/>
                <w:noProof/>
              </w:rPr>
              <w:t>Model Pharmacist Practice Act</w:t>
            </w:r>
            <w:r w:rsidR="00A94874">
              <w:rPr>
                <w:noProof/>
                <w:webHidden/>
              </w:rPr>
              <w:tab/>
            </w:r>
            <w:r w:rsidR="00A94874">
              <w:rPr>
                <w:noProof/>
                <w:webHidden/>
              </w:rPr>
              <w:fldChar w:fldCharType="begin"/>
            </w:r>
            <w:r w:rsidR="00A94874">
              <w:rPr>
                <w:noProof/>
                <w:webHidden/>
              </w:rPr>
              <w:instrText xml:space="preserve"> PAGEREF _Toc233895273 \h </w:instrText>
            </w:r>
            <w:r w:rsidR="00A94874">
              <w:rPr>
                <w:noProof/>
                <w:webHidden/>
              </w:rPr>
            </w:r>
            <w:r w:rsidR="00A94874">
              <w:rPr>
                <w:noProof/>
                <w:webHidden/>
              </w:rPr>
              <w:fldChar w:fldCharType="separate"/>
            </w:r>
            <w:r w:rsidR="00A94874">
              <w:rPr>
                <w:noProof/>
                <w:webHidden/>
              </w:rPr>
              <w:t>5</w:t>
            </w:r>
            <w:r w:rsidR="00A94874">
              <w:rPr>
                <w:noProof/>
                <w:webHidden/>
              </w:rPr>
              <w:fldChar w:fldCharType="end"/>
            </w:r>
          </w:hyperlink>
        </w:p>
        <w:p w14:paraId="2E9EB9FE" w14:textId="012E4307" w:rsidR="00A94874" w:rsidRDefault="00A94874">
          <w:pPr>
            <w:pStyle w:val="TOC2"/>
            <w:tabs>
              <w:tab w:val="right" w:leader="dot" w:pos="9350"/>
            </w:tabs>
            <w:rPr>
              <w:rFonts w:eastAsiaTheme="minorEastAsia"/>
              <w:noProof/>
              <w:kern w:val="2"/>
              <w:sz w:val="24"/>
              <w:szCs w:val="24"/>
              <w14:ligatures w14:val="standardContextual"/>
            </w:rPr>
          </w:pPr>
          <w:hyperlink w:anchor="_Toc233895274" w:history="1">
            <w:r w:rsidRPr="00D06E61">
              <w:rPr>
                <w:rStyle w:val="Hyperlink"/>
                <w:noProof/>
              </w:rPr>
              <w:t>Article I. Title, Purpose, and Definitions</w:t>
            </w:r>
            <w:r>
              <w:rPr>
                <w:noProof/>
                <w:webHidden/>
              </w:rPr>
              <w:tab/>
            </w:r>
            <w:r>
              <w:rPr>
                <w:noProof/>
                <w:webHidden/>
              </w:rPr>
              <w:fldChar w:fldCharType="begin"/>
            </w:r>
            <w:r>
              <w:rPr>
                <w:noProof/>
                <w:webHidden/>
              </w:rPr>
              <w:instrText xml:space="preserve"> PAGEREF _Toc233895274 \h </w:instrText>
            </w:r>
            <w:r>
              <w:rPr>
                <w:noProof/>
                <w:webHidden/>
              </w:rPr>
            </w:r>
            <w:r>
              <w:rPr>
                <w:noProof/>
                <w:webHidden/>
              </w:rPr>
              <w:fldChar w:fldCharType="separate"/>
            </w:r>
            <w:r>
              <w:rPr>
                <w:noProof/>
                <w:webHidden/>
              </w:rPr>
              <w:t>5</w:t>
            </w:r>
            <w:r>
              <w:rPr>
                <w:noProof/>
                <w:webHidden/>
              </w:rPr>
              <w:fldChar w:fldCharType="end"/>
            </w:r>
          </w:hyperlink>
        </w:p>
        <w:p w14:paraId="1A521A2B" w14:textId="0AE011CC" w:rsidR="00A94874" w:rsidRDefault="00A94874">
          <w:pPr>
            <w:pStyle w:val="TOC3"/>
            <w:tabs>
              <w:tab w:val="right" w:leader="dot" w:pos="9350"/>
            </w:tabs>
            <w:rPr>
              <w:rFonts w:eastAsiaTheme="minorEastAsia"/>
              <w:noProof/>
              <w:kern w:val="2"/>
              <w:sz w:val="24"/>
              <w:szCs w:val="24"/>
              <w14:ligatures w14:val="standardContextual"/>
            </w:rPr>
          </w:pPr>
          <w:hyperlink w:anchor="_Toc233895275" w:history="1">
            <w:r w:rsidRPr="00D06E61">
              <w:rPr>
                <w:rStyle w:val="Hyperlink"/>
                <w:noProof/>
              </w:rPr>
              <w:t>Section 101. Title.</w:t>
            </w:r>
            <w:r>
              <w:rPr>
                <w:noProof/>
                <w:webHidden/>
              </w:rPr>
              <w:tab/>
            </w:r>
            <w:r>
              <w:rPr>
                <w:noProof/>
                <w:webHidden/>
              </w:rPr>
              <w:fldChar w:fldCharType="begin"/>
            </w:r>
            <w:r>
              <w:rPr>
                <w:noProof/>
                <w:webHidden/>
              </w:rPr>
              <w:instrText xml:space="preserve"> PAGEREF _Toc233895275 \h </w:instrText>
            </w:r>
            <w:r>
              <w:rPr>
                <w:noProof/>
                <w:webHidden/>
              </w:rPr>
            </w:r>
            <w:r>
              <w:rPr>
                <w:noProof/>
                <w:webHidden/>
              </w:rPr>
              <w:fldChar w:fldCharType="separate"/>
            </w:r>
            <w:r>
              <w:rPr>
                <w:noProof/>
                <w:webHidden/>
              </w:rPr>
              <w:t>5</w:t>
            </w:r>
            <w:r>
              <w:rPr>
                <w:noProof/>
                <w:webHidden/>
              </w:rPr>
              <w:fldChar w:fldCharType="end"/>
            </w:r>
          </w:hyperlink>
        </w:p>
        <w:p w14:paraId="5AC2B5BE" w14:textId="09CD8A9A" w:rsidR="00A94874" w:rsidRDefault="00A94874">
          <w:pPr>
            <w:pStyle w:val="TOC3"/>
            <w:tabs>
              <w:tab w:val="right" w:leader="dot" w:pos="9350"/>
            </w:tabs>
            <w:rPr>
              <w:rFonts w:eastAsiaTheme="minorEastAsia"/>
              <w:noProof/>
              <w:kern w:val="2"/>
              <w:sz w:val="24"/>
              <w:szCs w:val="24"/>
              <w14:ligatures w14:val="standardContextual"/>
            </w:rPr>
          </w:pPr>
          <w:hyperlink w:anchor="_Toc233895276" w:history="1">
            <w:r w:rsidRPr="00D06E61">
              <w:rPr>
                <w:rStyle w:val="Hyperlink"/>
                <w:noProof/>
              </w:rPr>
              <w:t>Section 102. Legislative Declaration.</w:t>
            </w:r>
            <w:r>
              <w:rPr>
                <w:noProof/>
                <w:webHidden/>
              </w:rPr>
              <w:tab/>
            </w:r>
            <w:r>
              <w:rPr>
                <w:noProof/>
                <w:webHidden/>
              </w:rPr>
              <w:fldChar w:fldCharType="begin"/>
            </w:r>
            <w:r>
              <w:rPr>
                <w:noProof/>
                <w:webHidden/>
              </w:rPr>
              <w:instrText xml:space="preserve"> PAGEREF _Toc233895276 \h </w:instrText>
            </w:r>
            <w:r>
              <w:rPr>
                <w:noProof/>
                <w:webHidden/>
              </w:rPr>
            </w:r>
            <w:r>
              <w:rPr>
                <w:noProof/>
                <w:webHidden/>
              </w:rPr>
              <w:fldChar w:fldCharType="separate"/>
            </w:r>
            <w:r>
              <w:rPr>
                <w:noProof/>
                <w:webHidden/>
              </w:rPr>
              <w:t>5</w:t>
            </w:r>
            <w:r>
              <w:rPr>
                <w:noProof/>
                <w:webHidden/>
              </w:rPr>
              <w:fldChar w:fldCharType="end"/>
            </w:r>
          </w:hyperlink>
        </w:p>
        <w:p w14:paraId="7AC316DB" w14:textId="2DB0287F" w:rsidR="00A94874" w:rsidRDefault="00A94874">
          <w:pPr>
            <w:pStyle w:val="TOC3"/>
            <w:tabs>
              <w:tab w:val="right" w:leader="dot" w:pos="9350"/>
            </w:tabs>
            <w:rPr>
              <w:rFonts w:eastAsiaTheme="minorEastAsia"/>
              <w:noProof/>
              <w:kern w:val="2"/>
              <w:sz w:val="24"/>
              <w:szCs w:val="24"/>
              <w14:ligatures w14:val="standardContextual"/>
            </w:rPr>
          </w:pPr>
          <w:hyperlink w:anchor="_Toc233895277" w:history="1">
            <w:r w:rsidRPr="00D06E61">
              <w:rPr>
                <w:rStyle w:val="Hyperlink"/>
                <w:noProof/>
              </w:rPr>
              <w:t>Section 103. Definitions.</w:t>
            </w:r>
            <w:r>
              <w:rPr>
                <w:noProof/>
                <w:webHidden/>
              </w:rPr>
              <w:tab/>
            </w:r>
            <w:r>
              <w:rPr>
                <w:noProof/>
                <w:webHidden/>
              </w:rPr>
              <w:fldChar w:fldCharType="begin"/>
            </w:r>
            <w:r>
              <w:rPr>
                <w:noProof/>
                <w:webHidden/>
              </w:rPr>
              <w:instrText xml:space="preserve"> PAGEREF _Toc233895277 \h </w:instrText>
            </w:r>
            <w:r>
              <w:rPr>
                <w:noProof/>
                <w:webHidden/>
              </w:rPr>
            </w:r>
            <w:r>
              <w:rPr>
                <w:noProof/>
                <w:webHidden/>
              </w:rPr>
              <w:fldChar w:fldCharType="separate"/>
            </w:r>
            <w:r>
              <w:rPr>
                <w:noProof/>
                <w:webHidden/>
              </w:rPr>
              <w:t>5</w:t>
            </w:r>
            <w:r>
              <w:rPr>
                <w:noProof/>
                <w:webHidden/>
              </w:rPr>
              <w:fldChar w:fldCharType="end"/>
            </w:r>
          </w:hyperlink>
        </w:p>
        <w:p w14:paraId="2950D1C9" w14:textId="710DE6A7" w:rsidR="00A94874" w:rsidRDefault="00A94874">
          <w:pPr>
            <w:pStyle w:val="TOC2"/>
            <w:tabs>
              <w:tab w:val="right" w:leader="dot" w:pos="9350"/>
            </w:tabs>
            <w:rPr>
              <w:rFonts w:eastAsiaTheme="minorEastAsia"/>
              <w:noProof/>
              <w:kern w:val="2"/>
              <w:sz w:val="24"/>
              <w:szCs w:val="24"/>
              <w14:ligatures w14:val="standardContextual"/>
            </w:rPr>
          </w:pPr>
          <w:hyperlink w:anchor="_Toc233895278" w:history="1">
            <w:r w:rsidRPr="00D06E61">
              <w:rPr>
                <w:rStyle w:val="Hyperlink"/>
                <w:noProof/>
              </w:rPr>
              <w:t>Article II. Professional Practice Standards</w:t>
            </w:r>
            <w:r>
              <w:rPr>
                <w:noProof/>
                <w:webHidden/>
              </w:rPr>
              <w:tab/>
            </w:r>
            <w:r>
              <w:rPr>
                <w:noProof/>
                <w:webHidden/>
              </w:rPr>
              <w:fldChar w:fldCharType="begin"/>
            </w:r>
            <w:r>
              <w:rPr>
                <w:noProof/>
                <w:webHidden/>
              </w:rPr>
              <w:instrText xml:space="preserve"> PAGEREF _Toc233895278 \h </w:instrText>
            </w:r>
            <w:r>
              <w:rPr>
                <w:noProof/>
                <w:webHidden/>
              </w:rPr>
            </w:r>
            <w:r>
              <w:rPr>
                <w:noProof/>
                <w:webHidden/>
              </w:rPr>
              <w:fldChar w:fldCharType="separate"/>
            </w:r>
            <w:r>
              <w:rPr>
                <w:noProof/>
                <w:webHidden/>
              </w:rPr>
              <w:t>6</w:t>
            </w:r>
            <w:r>
              <w:rPr>
                <w:noProof/>
                <w:webHidden/>
              </w:rPr>
              <w:fldChar w:fldCharType="end"/>
            </w:r>
          </w:hyperlink>
        </w:p>
        <w:p w14:paraId="1C8CDA2C" w14:textId="3A8C23F0" w:rsidR="00A94874" w:rsidRDefault="00A94874">
          <w:pPr>
            <w:pStyle w:val="TOC3"/>
            <w:tabs>
              <w:tab w:val="right" w:leader="dot" w:pos="9350"/>
            </w:tabs>
            <w:rPr>
              <w:rFonts w:eastAsiaTheme="minorEastAsia"/>
              <w:noProof/>
              <w:kern w:val="2"/>
              <w:sz w:val="24"/>
              <w:szCs w:val="24"/>
              <w14:ligatures w14:val="standardContextual"/>
            </w:rPr>
          </w:pPr>
          <w:hyperlink w:anchor="_Toc233895279" w:history="1">
            <w:r w:rsidRPr="00D06E61">
              <w:rPr>
                <w:rStyle w:val="Hyperlink"/>
                <w:noProof/>
              </w:rPr>
              <w:t>Section 201. General Approach to Pharmacist Practice.</w:t>
            </w:r>
            <w:r>
              <w:rPr>
                <w:noProof/>
                <w:webHidden/>
              </w:rPr>
              <w:tab/>
            </w:r>
            <w:r>
              <w:rPr>
                <w:noProof/>
                <w:webHidden/>
              </w:rPr>
              <w:fldChar w:fldCharType="begin"/>
            </w:r>
            <w:r>
              <w:rPr>
                <w:noProof/>
                <w:webHidden/>
              </w:rPr>
              <w:instrText xml:space="preserve"> PAGEREF _Toc233895279 \h </w:instrText>
            </w:r>
            <w:r>
              <w:rPr>
                <w:noProof/>
                <w:webHidden/>
              </w:rPr>
            </w:r>
            <w:r>
              <w:rPr>
                <w:noProof/>
                <w:webHidden/>
              </w:rPr>
              <w:fldChar w:fldCharType="separate"/>
            </w:r>
            <w:r>
              <w:rPr>
                <w:noProof/>
                <w:webHidden/>
              </w:rPr>
              <w:t>6</w:t>
            </w:r>
            <w:r>
              <w:rPr>
                <w:noProof/>
                <w:webHidden/>
              </w:rPr>
              <w:fldChar w:fldCharType="end"/>
            </w:r>
          </w:hyperlink>
        </w:p>
        <w:p w14:paraId="629A8EC4" w14:textId="422A8EB2" w:rsidR="00A94874" w:rsidRDefault="00A94874">
          <w:pPr>
            <w:pStyle w:val="TOC3"/>
            <w:tabs>
              <w:tab w:val="right" w:leader="dot" w:pos="9350"/>
            </w:tabs>
            <w:rPr>
              <w:rFonts w:eastAsiaTheme="minorEastAsia"/>
              <w:noProof/>
              <w:kern w:val="2"/>
              <w:sz w:val="24"/>
              <w:szCs w:val="24"/>
              <w14:ligatures w14:val="standardContextual"/>
            </w:rPr>
          </w:pPr>
          <w:hyperlink w:anchor="_Toc233895280" w:history="1">
            <w:r w:rsidRPr="00D06E61">
              <w:rPr>
                <w:rStyle w:val="Hyperlink"/>
                <w:noProof/>
              </w:rPr>
              <w:t>Section 202. Practice Innovation.</w:t>
            </w:r>
            <w:r>
              <w:rPr>
                <w:noProof/>
                <w:webHidden/>
              </w:rPr>
              <w:tab/>
            </w:r>
            <w:r>
              <w:rPr>
                <w:noProof/>
                <w:webHidden/>
              </w:rPr>
              <w:fldChar w:fldCharType="begin"/>
            </w:r>
            <w:r>
              <w:rPr>
                <w:noProof/>
                <w:webHidden/>
              </w:rPr>
              <w:instrText xml:space="preserve"> PAGEREF _Toc233895280 \h </w:instrText>
            </w:r>
            <w:r>
              <w:rPr>
                <w:noProof/>
                <w:webHidden/>
              </w:rPr>
            </w:r>
            <w:r>
              <w:rPr>
                <w:noProof/>
                <w:webHidden/>
              </w:rPr>
              <w:fldChar w:fldCharType="separate"/>
            </w:r>
            <w:r>
              <w:rPr>
                <w:noProof/>
                <w:webHidden/>
              </w:rPr>
              <w:t>6</w:t>
            </w:r>
            <w:r>
              <w:rPr>
                <w:noProof/>
                <w:webHidden/>
              </w:rPr>
              <w:fldChar w:fldCharType="end"/>
            </w:r>
          </w:hyperlink>
        </w:p>
        <w:p w14:paraId="5E63EBAA" w14:textId="24634C46" w:rsidR="00A94874" w:rsidRDefault="00A94874">
          <w:pPr>
            <w:pStyle w:val="TOC3"/>
            <w:tabs>
              <w:tab w:val="right" w:leader="dot" w:pos="9350"/>
            </w:tabs>
            <w:rPr>
              <w:rFonts w:eastAsiaTheme="minorEastAsia"/>
              <w:noProof/>
              <w:kern w:val="2"/>
              <w:sz w:val="24"/>
              <w:szCs w:val="24"/>
              <w14:ligatures w14:val="standardContextual"/>
            </w:rPr>
          </w:pPr>
          <w:hyperlink w:anchor="_Toc233895281" w:history="1">
            <w:r w:rsidRPr="00D06E61">
              <w:rPr>
                <w:rStyle w:val="Hyperlink"/>
                <w:noProof/>
              </w:rPr>
              <w:t>Section 203. Pharmacist Prescribing Authority.</w:t>
            </w:r>
            <w:r>
              <w:rPr>
                <w:noProof/>
                <w:webHidden/>
              </w:rPr>
              <w:tab/>
            </w:r>
            <w:r>
              <w:rPr>
                <w:noProof/>
                <w:webHidden/>
              </w:rPr>
              <w:fldChar w:fldCharType="begin"/>
            </w:r>
            <w:r>
              <w:rPr>
                <w:noProof/>
                <w:webHidden/>
              </w:rPr>
              <w:instrText xml:space="preserve"> PAGEREF _Toc233895281 \h </w:instrText>
            </w:r>
            <w:r>
              <w:rPr>
                <w:noProof/>
                <w:webHidden/>
              </w:rPr>
            </w:r>
            <w:r>
              <w:rPr>
                <w:noProof/>
                <w:webHidden/>
              </w:rPr>
              <w:fldChar w:fldCharType="separate"/>
            </w:r>
            <w:r>
              <w:rPr>
                <w:noProof/>
                <w:webHidden/>
              </w:rPr>
              <w:t>6</w:t>
            </w:r>
            <w:r>
              <w:rPr>
                <w:noProof/>
                <w:webHidden/>
              </w:rPr>
              <w:fldChar w:fldCharType="end"/>
            </w:r>
          </w:hyperlink>
        </w:p>
        <w:p w14:paraId="3A54B944" w14:textId="7AEB19A3" w:rsidR="00A94874" w:rsidRDefault="00A94874">
          <w:pPr>
            <w:pStyle w:val="TOC2"/>
            <w:tabs>
              <w:tab w:val="right" w:leader="dot" w:pos="9350"/>
            </w:tabs>
            <w:rPr>
              <w:rFonts w:eastAsiaTheme="minorEastAsia"/>
              <w:noProof/>
              <w:kern w:val="2"/>
              <w:sz w:val="24"/>
              <w:szCs w:val="24"/>
              <w14:ligatures w14:val="standardContextual"/>
            </w:rPr>
          </w:pPr>
          <w:hyperlink w:anchor="_Toc233895282" w:history="1">
            <w:r w:rsidRPr="00D06E61">
              <w:rPr>
                <w:rStyle w:val="Hyperlink"/>
                <w:noProof/>
              </w:rPr>
              <w:t>Article III. Delegation and Personnel</w:t>
            </w:r>
            <w:r>
              <w:rPr>
                <w:noProof/>
                <w:webHidden/>
              </w:rPr>
              <w:tab/>
            </w:r>
            <w:r>
              <w:rPr>
                <w:noProof/>
                <w:webHidden/>
              </w:rPr>
              <w:fldChar w:fldCharType="begin"/>
            </w:r>
            <w:r>
              <w:rPr>
                <w:noProof/>
                <w:webHidden/>
              </w:rPr>
              <w:instrText xml:space="preserve"> PAGEREF _Toc233895282 \h </w:instrText>
            </w:r>
            <w:r>
              <w:rPr>
                <w:noProof/>
                <w:webHidden/>
              </w:rPr>
            </w:r>
            <w:r>
              <w:rPr>
                <w:noProof/>
                <w:webHidden/>
              </w:rPr>
              <w:fldChar w:fldCharType="separate"/>
            </w:r>
            <w:r>
              <w:rPr>
                <w:noProof/>
                <w:webHidden/>
              </w:rPr>
              <w:t>7</w:t>
            </w:r>
            <w:r>
              <w:rPr>
                <w:noProof/>
                <w:webHidden/>
              </w:rPr>
              <w:fldChar w:fldCharType="end"/>
            </w:r>
          </w:hyperlink>
        </w:p>
        <w:p w14:paraId="5F543DBE" w14:textId="3FBE6254" w:rsidR="00A94874" w:rsidRDefault="00A94874">
          <w:pPr>
            <w:pStyle w:val="TOC3"/>
            <w:tabs>
              <w:tab w:val="right" w:leader="dot" w:pos="9350"/>
            </w:tabs>
            <w:rPr>
              <w:rFonts w:eastAsiaTheme="minorEastAsia"/>
              <w:noProof/>
              <w:kern w:val="2"/>
              <w:sz w:val="24"/>
              <w:szCs w:val="24"/>
              <w14:ligatures w14:val="standardContextual"/>
            </w:rPr>
          </w:pPr>
          <w:hyperlink w:anchor="_Toc233895283" w:history="1">
            <w:r w:rsidRPr="00D06E61">
              <w:rPr>
                <w:rStyle w:val="Hyperlink"/>
                <w:noProof/>
              </w:rPr>
              <w:t>Section 301. Delegation of Functions.</w:t>
            </w:r>
            <w:r>
              <w:rPr>
                <w:noProof/>
                <w:webHidden/>
              </w:rPr>
              <w:tab/>
            </w:r>
            <w:r>
              <w:rPr>
                <w:noProof/>
                <w:webHidden/>
              </w:rPr>
              <w:fldChar w:fldCharType="begin"/>
            </w:r>
            <w:r>
              <w:rPr>
                <w:noProof/>
                <w:webHidden/>
              </w:rPr>
              <w:instrText xml:space="preserve"> PAGEREF _Toc233895283 \h </w:instrText>
            </w:r>
            <w:r>
              <w:rPr>
                <w:noProof/>
                <w:webHidden/>
              </w:rPr>
            </w:r>
            <w:r>
              <w:rPr>
                <w:noProof/>
                <w:webHidden/>
              </w:rPr>
              <w:fldChar w:fldCharType="separate"/>
            </w:r>
            <w:r>
              <w:rPr>
                <w:noProof/>
                <w:webHidden/>
              </w:rPr>
              <w:t>7</w:t>
            </w:r>
            <w:r>
              <w:rPr>
                <w:noProof/>
                <w:webHidden/>
              </w:rPr>
              <w:fldChar w:fldCharType="end"/>
            </w:r>
          </w:hyperlink>
        </w:p>
        <w:p w14:paraId="3DD18C46" w14:textId="70409416" w:rsidR="00A94874" w:rsidRDefault="00A94874">
          <w:pPr>
            <w:pStyle w:val="TOC2"/>
            <w:tabs>
              <w:tab w:val="right" w:leader="dot" w:pos="9350"/>
            </w:tabs>
            <w:rPr>
              <w:rFonts w:eastAsiaTheme="minorEastAsia"/>
              <w:noProof/>
              <w:kern w:val="2"/>
              <w:sz w:val="24"/>
              <w:szCs w:val="24"/>
              <w14:ligatures w14:val="standardContextual"/>
            </w:rPr>
          </w:pPr>
          <w:hyperlink w:anchor="_Toc233895284" w:history="1">
            <w:r w:rsidRPr="00D06E61">
              <w:rPr>
                <w:rStyle w:val="Hyperlink"/>
                <w:noProof/>
              </w:rPr>
              <w:t>Article IV. Discipline and Accountability</w:t>
            </w:r>
            <w:r>
              <w:rPr>
                <w:noProof/>
                <w:webHidden/>
              </w:rPr>
              <w:tab/>
            </w:r>
            <w:r>
              <w:rPr>
                <w:noProof/>
                <w:webHidden/>
              </w:rPr>
              <w:fldChar w:fldCharType="begin"/>
            </w:r>
            <w:r>
              <w:rPr>
                <w:noProof/>
                <w:webHidden/>
              </w:rPr>
              <w:instrText xml:space="preserve"> PAGEREF _Toc233895284 \h </w:instrText>
            </w:r>
            <w:r>
              <w:rPr>
                <w:noProof/>
                <w:webHidden/>
              </w:rPr>
            </w:r>
            <w:r>
              <w:rPr>
                <w:noProof/>
                <w:webHidden/>
              </w:rPr>
              <w:fldChar w:fldCharType="separate"/>
            </w:r>
            <w:r>
              <w:rPr>
                <w:noProof/>
                <w:webHidden/>
              </w:rPr>
              <w:t>7</w:t>
            </w:r>
            <w:r>
              <w:rPr>
                <w:noProof/>
                <w:webHidden/>
              </w:rPr>
              <w:fldChar w:fldCharType="end"/>
            </w:r>
          </w:hyperlink>
        </w:p>
        <w:p w14:paraId="2AFF22A3" w14:textId="13A56981" w:rsidR="00A94874" w:rsidRDefault="00A94874">
          <w:pPr>
            <w:pStyle w:val="TOC3"/>
            <w:tabs>
              <w:tab w:val="right" w:leader="dot" w:pos="9350"/>
            </w:tabs>
            <w:rPr>
              <w:rFonts w:eastAsiaTheme="minorEastAsia"/>
              <w:noProof/>
              <w:kern w:val="2"/>
              <w:sz w:val="24"/>
              <w:szCs w:val="24"/>
              <w14:ligatures w14:val="standardContextual"/>
            </w:rPr>
          </w:pPr>
          <w:hyperlink w:anchor="_Toc233895285" w:history="1">
            <w:r w:rsidRPr="00D06E61">
              <w:rPr>
                <w:rStyle w:val="Hyperlink"/>
                <w:noProof/>
              </w:rPr>
              <w:t>Section 401. Grounds for Discipline.</w:t>
            </w:r>
            <w:r>
              <w:rPr>
                <w:noProof/>
                <w:webHidden/>
              </w:rPr>
              <w:tab/>
            </w:r>
            <w:r>
              <w:rPr>
                <w:noProof/>
                <w:webHidden/>
              </w:rPr>
              <w:fldChar w:fldCharType="begin"/>
            </w:r>
            <w:r>
              <w:rPr>
                <w:noProof/>
                <w:webHidden/>
              </w:rPr>
              <w:instrText xml:space="preserve"> PAGEREF _Toc233895285 \h </w:instrText>
            </w:r>
            <w:r>
              <w:rPr>
                <w:noProof/>
                <w:webHidden/>
              </w:rPr>
            </w:r>
            <w:r>
              <w:rPr>
                <w:noProof/>
                <w:webHidden/>
              </w:rPr>
              <w:fldChar w:fldCharType="separate"/>
            </w:r>
            <w:r>
              <w:rPr>
                <w:noProof/>
                <w:webHidden/>
              </w:rPr>
              <w:t>7</w:t>
            </w:r>
            <w:r>
              <w:rPr>
                <w:noProof/>
                <w:webHidden/>
              </w:rPr>
              <w:fldChar w:fldCharType="end"/>
            </w:r>
          </w:hyperlink>
        </w:p>
        <w:p w14:paraId="18E08C74" w14:textId="185FBF25" w:rsidR="00A94874" w:rsidRDefault="00A94874">
          <w:pPr>
            <w:pStyle w:val="TOC3"/>
            <w:tabs>
              <w:tab w:val="right" w:leader="dot" w:pos="9350"/>
            </w:tabs>
            <w:rPr>
              <w:rFonts w:eastAsiaTheme="minorEastAsia"/>
              <w:noProof/>
              <w:kern w:val="2"/>
              <w:sz w:val="24"/>
              <w:szCs w:val="24"/>
              <w14:ligatures w14:val="standardContextual"/>
            </w:rPr>
          </w:pPr>
          <w:hyperlink w:anchor="_Toc233895286" w:history="1">
            <w:r w:rsidRPr="00D06E61">
              <w:rPr>
                <w:rStyle w:val="Hyperlink"/>
                <w:noProof/>
              </w:rPr>
              <w:t>Section 402. Waiver Authority.</w:t>
            </w:r>
            <w:r>
              <w:rPr>
                <w:noProof/>
                <w:webHidden/>
              </w:rPr>
              <w:tab/>
            </w:r>
            <w:r>
              <w:rPr>
                <w:noProof/>
                <w:webHidden/>
              </w:rPr>
              <w:fldChar w:fldCharType="begin"/>
            </w:r>
            <w:r>
              <w:rPr>
                <w:noProof/>
                <w:webHidden/>
              </w:rPr>
              <w:instrText xml:space="preserve"> PAGEREF _Toc233895286 \h </w:instrText>
            </w:r>
            <w:r>
              <w:rPr>
                <w:noProof/>
                <w:webHidden/>
              </w:rPr>
            </w:r>
            <w:r>
              <w:rPr>
                <w:noProof/>
                <w:webHidden/>
              </w:rPr>
              <w:fldChar w:fldCharType="separate"/>
            </w:r>
            <w:r>
              <w:rPr>
                <w:noProof/>
                <w:webHidden/>
              </w:rPr>
              <w:t>7</w:t>
            </w:r>
            <w:r>
              <w:rPr>
                <w:noProof/>
                <w:webHidden/>
              </w:rPr>
              <w:fldChar w:fldCharType="end"/>
            </w:r>
          </w:hyperlink>
        </w:p>
        <w:p w14:paraId="113F99AE" w14:textId="061E1101" w:rsidR="00A549B7" w:rsidRDefault="00A549B7">
          <w:r w:rsidRPr="00A86CEC">
            <w:rPr>
              <w:b/>
              <w:bCs/>
              <w:noProof/>
              <w:sz w:val="24"/>
              <w:szCs w:val="24"/>
            </w:rPr>
            <w:fldChar w:fldCharType="end"/>
          </w:r>
        </w:p>
      </w:sdtContent>
    </w:sdt>
    <w:p w14:paraId="558A75A0" w14:textId="6F9C4495" w:rsidR="00A549B7" w:rsidRPr="00A86CEC" w:rsidRDefault="00A549B7">
      <w:pPr>
        <w:spacing w:line="278" w:lineRule="auto"/>
        <w:rPr>
          <w:rFonts w:ascii="Aptos" w:hAnsi="Aptos" w:cs="Arial"/>
          <w:bCs/>
          <w:color w:val="000000" w:themeColor="text1"/>
          <w:sz w:val="24"/>
        </w:rPr>
      </w:pPr>
      <w:r w:rsidRPr="00A86CEC">
        <w:rPr>
          <w:rFonts w:ascii="Aptos" w:hAnsi="Aptos" w:cs="Arial"/>
          <w:bCs/>
          <w:color w:val="000000" w:themeColor="text1"/>
          <w:sz w:val="24"/>
        </w:rPr>
        <w:br w:type="page"/>
      </w:r>
    </w:p>
    <w:p w14:paraId="19348343" w14:textId="77777777" w:rsidR="006B1FED" w:rsidRPr="001F05BF" w:rsidRDefault="006B1FED" w:rsidP="001550BF">
      <w:pPr>
        <w:pStyle w:val="Heading1"/>
        <w:jc w:val="center"/>
        <w:rPr>
          <w:color w:val="auto"/>
        </w:rPr>
      </w:pPr>
      <w:bookmarkStart w:id="1" w:name="_Toc233895273"/>
      <w:bookmarkStart w:id="2" w:name="_Toc143592849"/>
      <w:r w:rsidRPr="001F05BF">
        <w:rPr>
          <w:color w:val="auto"/>
        </w:rPr>
        <w:lastRenderedPageBreak/>
        <w:t>Model Pharmacist Practice Act</w:t>
      </w:r>
      <w:bookmarkEnd w:id="1"/>
    </w:p>
    <w:p w14:paraId="0188D51F" w14:textId="77777777" w:rsidR="00C47812" w:rsidRPr="00C47812" w:rsidRDefault="00C47812" w:rsidP="00C47812"/>
    <w:p w14:paraId="0E9C4DC7" w14:textId="25B2DCCA" w:rsidR="006B1FED" w:rsidRPr="001F05BF" w:rsidRDefault="006B1FED" w:rsidP="00C47812">
      <w:pPr>
        <w:pStyle w:val="Heading2"/>
        <w:rPr>
          <w:color w:val="auto"/>
        </w:rPr>
      </w:pPr>
      <w:bookmarkStart w:id="3" w:name="_Toc233895274"/>
      <w:r w:rsidRPr="001F05BF">
        <w:rPr>
          <w:color w:val="auto"/>
        </w:rPr>
        <w:t>Article I. Title, Purpose, and Definitions</w:t>
      </w:r>
      <w:bookmarkEnd w:id="3"/>
    </w:p>
    <w:p w14:paraId="5679AB59" w14:textId="77777777" w:rsidR="00C47812" w:rsidRPr="00A86CEC" w:rsidRDefault="006B1FED" w:rsidP="006B1FED">
      <w:pPr>
        <w:rPr>
          <w:rFonts w:ascii="Aptos" w:hAnsi="Aptos" w:cs="Arial"/>
          <w:sz w:val="24"/>
        </w:rPr>
      </w:pPr>
      <w:bookmarkStart w:id="4" w:name="_Toc233895275"/>
      <w:r w:rsidRPr="001F05BF">
        <w:rPr>
          <w:rStyle w:val="Heading3Char"/>
          <w:color w:val="auto"/>
        </w:rPr>
        <w:t>Section 101. Title.</w:t>
      </w:r>
      <w:bookmarkEnd w:id="4"/>
      <w:r w:rsidRPr="00A86CEC">
        <w:rPr>
          <w:rFonts w:ascii="Aptos" w:hAnsi="Aptos" w:cs="Arial"/>
          <w:sz w:val="24"/>
        </w:rPr>
        <w:t xml:space="preserve"> </w:t>
      </w:r>
    </w:p>
    <w:p w14:paraId="1D6073C2" w14:textId="3F6A2B8A" w:rsidR="006B1FED" w:rsidRPr="00A86CEC" w:rsidRDefault="006B1FED" w:rsidP="006B1FED">
      <w:pPr>
        <w:rPr>
          <w:rFonts w:ascii="Aptos" w:hAnsi="Aptos" w:cs="Arial"/>
          <w:sz w:val="24"/>
        </w:rPr>
      </w:pPr>
      <w:r w:rsidRPr="00A86CEC">
        <w:rPr>
          <w:rFonts w:ascii="Aptos" w:hAnsi="Aptos" w:cs="Arial"/>
          <w:sz w:val="24"/>
        </w:rPr>
        <w:t xml:space="preserve">This </w:t>
      </w:r>
      <w:r w:rsidR="006259AC">
        <w:rPr>
          <w:rFonts w:ascii="Aptos" w:hAnsi="Aptos" w:cs="Arial"/>
          <w:sz w:val="24"/>
        </w:rPr>
        <w:t>A</w:t>
      </w:r>
      <w:r w:rsidRPr="00A86CEC">
        <w:rPr>
          <w:rFonts w:ascii="Aptos" w:hAnsi="Aptos" w:cs="Arial"/>
          <w:sz w:val="24"/>
        </w:rPr>
        <w:t xml:space="preserve">ct shall be known as the </w:t>
      </w:r>
      <w:r w:rsidR="00A86CEC">
        <w:rPr>
          <w:rFonts w:ascii="Aptos" w:hAnsi="Aptos" w:cs="Arial"/>
          <w:sz w:val="24"/>
        </w:rPr>
        <w:t xml:space="preserve">Model </w:t>
      </w:r>
      <w:r w:rsidRPr="00A86CEC">
        <w:rPr>
          <w:rFonts w:ascii="Aptos" w:hAnsi="Aptos" w:cs="Arial"/>
          <w:sz w:val="24"/>
        </w:rPr>
        <w:t>Pharmacist Practice Act.</w:t>
      </w:r>
    </w:p>
    <w:p w14:paraId="2568D20E" w14:textId="77777777" w:rsidR="00C47812" w:rsidRPr="001F05BF" w:rsidRDefault="006B1FED" w:rsidP="00C47812">
      <w:pPr>
        <w:pStyle w:val="Heading3"/>
        <w:rPr>
          <w:color w:val="auto"/>
        </w:rPr>
      </w:pPr>
      <w:bookmarkStart w:id="5" w:name="_Toc233895276"/>
      <w:r w:rsidRPr="001F05BF">
        <w:rPr>
          <w:color w:val="auto"/>
        </w:rPr>
        <w:t>Section 102. Legislative Declaration.</w:t>
      </w:r>
      <w:bookmarkEnd w:id="5"/>
      <w:r w:rsidRPr="001F05BF">
        <w:rPr>
          <w:color w:val="auto"/>
        </w:rPr>
        <w:t xml:space="preserve"> </w:t>
      </w:r>
    </w:p>
    <w:p w14:paraId="18459040" w14:textId="2B5B0EB0" w:rsidR="006B1FED" w:rsidRPr="00A86CEC" w:rsidRDefault="006B1FED" w:rsidP="006B1FED">
      <w:pPr>
        <w:rPr>
          <w:rFonts w:ascii="Aptos" w:hAnsi="Aptos" w:cs="Arial"/>
          <w:sz w:val="24"/>
        </w:rPr>
      </w:pPr>
      <w:r w:rsidRPr="00A86CEC">
        <w:rPr>
          <w:rFonts w:ascii="Aptos" w:hAnsi="Aptos" w:cs="Arial"/>
          <w:sz w:val="24"/>
        </w:rPr>
        <w:t>The practice of pharmacy is declared a professional health care practice affecting the public health, safety, and welfare, and is subject to regulation in the public interest. To ensure patient access to clinical services and practice innovation, this state adopts a standard of care approach to regulating pharmacists</w:t>
      </w:r>
      <w:r w:rsidR="00681942">
        <w:rPr>
          <w:rFonts w:ascii="Aptos" w:hAnsi="Aptos" w:cs="Arial"/>
          <w:sz w:val="24"/>
        </w:rPr>
        <w:t>’</w:t>
      </w:r>
      <w:r w:rsidRPr="00A86CEC">
        <w:rPr>
          <w:rFonts w:ascii="Aptos" w:hAnsi="Aptos" w:cs="Arial"/>
          <w:sz w:val="24"/>
        </w:rPr>
        <w:t xml:space="preserve"> clinical and non-dispensing practices, allowing a flexible framework for practice expansion over time.</w:t>
      </w:r>
    </w:p>
    <w:p w14:paraId="3FBBB89F" w14:textId="77777777" w:rsidR="006B1FED" w:rsidRPr="001F05BF" w:rsidRDefault="006B1FED" w:rsidP="00C47812">
      <w:pPr>
        <w:pStyle w:val="Heading3"/>
        <w:rPr>
          <w:i/>
          <w:iCs/>
          <w:color w:val="auto"/>
        </w:rPr>
      </w:pPr>
      <w:bookmarkStart w:id="6" w:name="_Toc233895277"/>
      <w:r w:rsidRPr="001F05BF">
        <w:rPr>
          <w:color w:val="auto"/>
        </w:rPr>
        <w:t>Section 103. Definitions.</w:t>
      </w:r>
      <w:bookmarkEnd w:id="6"/>
    </w:p>
    <w:p w14:paraId="1FA68FA5" w14:textId="77777777" w:rsidR="006B1FED" w:rsidRPr="00A86CEC" w:rsidRDefault="006B1FED" w:rsidP="006B1FED">
      <w:pPr>
        <w:rPr>
          <w:rFonts w:ascii="Aptos" w:hAnsi="Aptos" w:cs="Arial"/>
          <w:sz w:val="24"/>
        </w:rPr>
      </w:pPr>
      <w:r w:rsidRPr="00A86CEC">
        <w:rPr>
          <w:rFonts w:ascii="Aptos" w:hAnsi="Aptos" w:cs="Arial"/>
          <w:sz w:val="24"/>
        </w:rPr>
        <w:t>“Dispense” or “dispensing” means the interpretation, evaluation, and implementation of a prescription drug order, including the preparation, final verification, and delivery of a drug or device to a patient or patient’s agent in a suitable container appropriately labeled for subsequent administration to, or use by, a patient.</w:t>
      </w:r>
    </w:p>
    <w:p w14:paraId="53E16549" w14:textId="1BD58746" w:rsidR="006B1FED" w:rsidRPr="00A86CEC" w:rsidRDefault="006B1FED" w:rsidP="006B1FED">
      <w:pPr>
        <w:pStyle w:val="BodyText1"/>
        <w:rPr>
          <w:rFonts w:ascii="Aptos" w:hAnsi="Aptos" w:cs="Arial"/>
          <w:sz w:val="24"/>
          <w:szCs w:val="22"/>
        </w:rPr>
      </w:pPr>
      <w:r w:rsidRPr="00A86CEC">
        <w:rPr>
          <w:rFonts w:ascii="Aptos" w:hAnsi="Aptos" w:cs="Arial"/>
          <w:sz w:val="24"/>
          <w:szCs w:val="22"/>
        </w:rPr>
        <w:t>“Pharmacist care services” mean services intended to achieve patient outcomes related to the treatment or prevention of disease, elimination or reduction of symptoms, and promotion of health and wellness. Pharmacist care services include</w:t>
      </w:r>
      <w:r w:rsidR="00E62219">
        <w:rPr>
          <w:rFonts w:ascii="Aptos" w:hAnsi="Aptos" w:cs="Arial"/>
          <w:sz w:val="24"/>
          <w:szCs w:val="22"/>
        </w:rPr>
        <w:t>,</w:t>
      </w:r>
      <w:r w:rsidRPr="00A86CEC">
        <w:rPr>
          <w:rFonts w:ascii="Aptos" w:hAnsi="Aptos" w:cs="Arial"/>
          <w:sz w:val="24"/>
          <w:szCs w:val="22"/>
        </w:rPr>
        <w:t xml:space="preserve"> but are not limited to</w:t>
      </w:r>
      <w:r w:rsidR="00E62219">
        <w:rPr>
          <w:rFonts w:ascii="Aptos" w:hAnsi="Aptos" w:cs="Arial"/>
          <w:sz w:val="24"/>
          <w:szCs w:val="22"/>
        </w:rPr>
        <w:t>, the following</w:t>
      </w:r>
      <w:r w:rsidRPr="00A86CEC">
        <w:rPr>
          <w:rFonts w:ascii="Aptos" w:hAnsi="Aptos" w:cs="Arial"/>
          <w:sz w:val="24"/>
          <w:szCs w:val="22"/>
        </w:rPr>
        <w:t>:</w:t>
      </w:r>
    </w:p>
    <w:p w14:paraId="08F79224" w14:textId="77777777" w:rsidR="006B1FED" w:rsidRPr="00A86CEC" w:rsidRDefault="006B1FED" w:rsidP="006B1FED">
      <w:pPr>
        <w:pStyle w:val="BodyText1"/>
        <w:numPr>
          <w:ilvl w:val="0"/>
          <w:numId w:val="4"/>
        </w:numPr>
        <w:spacing w:before="0" w:after="0"/>
        <w:ind w:hanging="720"/>
        <w:rPr>
          <w:rFonts w:ascii="Aptos" w:hAnsi="Aptos" w:cs="Arial"/>
          <w:sz w:val="24"/>
          <w:szCs w:val="22"/>
        </w:rPr>
      </w:pPr>
      <w:r w:rsidRPr="00A86CEC">
        <w:rPr>
          <w:rFonts w:ascii="Aptos" w:hAnsi="Aptos" w:cs="Arial"/>
          <w:sz w:val="24"/>
          <w:szCs w:val="22"/>
        </w:rPr>
        <w:t>drug utilization review;</w:t>
      </w:r>
    </w:p>
    <w:p w14:paraId="1CAE22C8" w14:textId="77777777" w:rsidR="006B1FED" w:rsidRPr="00A86CEC" w:rsidRDefault="006B1FED" w:rsidP="006B1FED">
      <w:pPr>
        <w:pStyle w:val="BodyText1"/>
        <w:numPr>
          <w:ilvl w:val="0"/>
          <w:numId w:val="4"/>
        </w:numPr>
        <w:spacing w:before="0" w:after="0"/>
        <w:ind w:hanging="720"/>
        <w:rPr>
          <w:rFonts w:ascii="Aptos" w:hAnsi="Aptos" w:cs="Arial"/>
          <w:sz w:val="24"/>
          <w:szCs w:val="22"/>
        </w:rPr>
      </w:pPr>
      <w:r w:rsidRPr="00A86CEC">
        <w:rPr>
          <w:rFonts w:ascii="Aptos" w:hAnsi="Aptos" w:cs="Arial"/>
          <w:sz w:val="24"/>
          <w:szCs w:val="22"/>
        </w:rPr>
        <w:t>medication adherence monitoring service;</w:t>
      </w:r>
    </w:p>
    <w:p w14:paraId="5F7912DE" w14:textId="16C79327" w:rsidR="006B1FED" w:rsidRPr="00A86CEC" w:rsidRDefault="006B1FED" w:rsidP="006B1FED">
      <w:pPr>
        <w:pStyle w:val="BodyText1"/>
        <w:numPr>
          <w:ilvl w:val="0"/>
          <w:numId w:val="4"/>
        </w:numPr>
        <w:spacing w:before="0" w:after="0"/>
        <w:ind w:hanging="720"/>
        <w:rPr>
          <w:rFonts w:ascii="Aptos" w:hAnsi="Aptos" w:cs="Arial"/>
          <w:sz w:val="24"/>
          <w:szCs w:val="22"/>
        </w:rPr>
      </w:pPr>
      <w:r w:rsidRPr="00A86CEC">
        <w:rPr>
          <w:rFonts w:ascii="Aptos" w:hAnsi="Aptos" w:cs="Arial"/>
          <w:sz w:val="24"/>
          <w:szCs w:val="22"/>
        </w:rPr>
        <w:t>prescribing, administering, and dispensing drugs or devices;</w:t>
      </w:r>
    </w:p>
    <w:p w14:paraId="42D5C20A" w14:textId="77777777" w:rsidR="006B1FED" w:rsidRPr="00A86CEC" w:rsidRDefault="006B1FED" w:rsidP="006B1FED">
      <w:pPr>
        <w:pStyle w:val="BodyText1"/>
        <w:numPr>
          <w:ilvl w:val="0"/>
          <w:numId w:val="4"/>
        </w:numPr>
        <w:spacing w:before="0" w:after="0"/>
        <w:ind w:hanging="720"/>
        <w:rPr>
          <w:rFonts w:ascii="Aptos" w:hAnsi="Aptos" w:cs="Arial"/>
          <w:sz w:val="24"/>
          <w:szCs w:val="22"/>
        </w:rPr>
      </w:pPr>
      <w:r w:rsidRPr="00A86CEC">
        <w:rPr>
          <w:rFonts w:ascii="Aptos" w:hAnsi="Aptos" w:cs="Arial"/>
          <w:sz w:val="24"/>
          <w:szCs w:val="22"/>
        </w:rPr>
        <w:t>medication therapy management;</w:t>
      </w:r>
    </w:p>
    <w:p w14:paraId="1D81C8FC" w14:textId="77777777" w:rsidR="006B1FED" w:rsidRPr="00A86CEC" w:rsidRDefault="006B1FED" w:rsidP="006B1FED">
      <w:pPr>
        <w:pStyle w:val="BodyText1"/>
        <w:numPr>
          <w:ilvl w:val="0"/>
          <w:numId w:val="4"/>
        </w:numPr>
        <w:spacing w:before="0" w:after="0"/>
        <w:ind w:hanging="720"/>
        <w:rPr>
          <w:rFonts w:ascii="Aptos" w:hAnsi="Aptos" w:cs="Arial"/>
          <w:sz w:val="24"/>
          <w:szCs w:val="22"/>
        </w:rPr>
      </w:pPr>
      <w:r w:rsidRPr="00A86CEC">
        <w:rPr>
          <w:rFonts w:ascii="Aptos" w:hAnsi="Aptos" w:cs="Arial"/>
          <w:sz w:val="24"/>
          <w:szCs w:val="22"/>
        </w:rPr>
        <w:t>reviewing, selecting, and developing formularies and/or practice guidelines;</w:t>
      </w:r>
    </w:p>
    <w:p w14:paraId="17082CBD" w14:textId="77777777" w:rsidR="006B1FED" w:rsidRPr="00A86CEC" w:rsidRDefault="006B1FED" w:rsidP="006B1FED">
      <w:pPr>
        <w:pStyle w:val="BodyText1"/>
        <w:numPr>
          <w:ilvl w:val="0"/>
          <w:numId w:val="4"/>
        </w:numPr>
        <w:spacing w:before="0" w:after="0"/>
        <w:ind w:hanging="720"/>
        <w:rPr>
          <w:rFonts w:ascii="Aptos" w:hAnsi="Aptos" w:cs="Arial"/>
          <w:sz w:val="24"/>
          <w:szCs w:val="22"/>
        </w:rPr>
      </w:pPr>
      <w:r w:rsidRPr="00A86CEC">
        <w:rPr>
          <w:rFonts w:ascii="Aptos" w:hAnsi="Aptos" w:cs="Arial"/>
          <w:sz w:val="24"/>
          <w:szCs w:val="22"/>
        </w:rPr>
        <w:t>performing drug product selection, substitution, therapeutic interchange, prescription adaptation, or continuation of therapy;</w:t>
      </w:r>
    </w:p>
    <w:p w14:paraId="2FA90330" w14:textId="79E21FDA" w:rsidR="006B1FED" w:rsidRPr="00A86CEC" w:rsidRDefault="006B1FED" w:rsidP="006B1FED">
      <w:pPr>
        <w:pStyle w:val="BodyText1"/>
        <w:numPr>
          <w:ilvl w:val="0"/>
          <w:numId w:val="4"/>
        </w:numPr>
        <w:spacing w:before="0" w:after="0"/>
        <w:ind w:hanging="720"/>
        <w:rPr>
          <w:rFonts w:ascii="Aptos" w:hAnsi="Aptos" w:cs="Arial"/>
          <w:sz w:val="24"/>
          <w:szCs w:val="22"/>
        </w:rPr>
      </w:pPr>
      <w:r w:rsidRPr="00A86CEC">
        <w:rPr>
          <w:rFonts w:ascii="Aptos" w:hAnsi="Aptos" w:cs="Arial"/>
          <w:sz w:val="24"/>
          <w:szCs w:val="22"/>
        </w:rPr>
        <w:t xml:space="preserve">prescribing medications </w:t>
      </w:r>
      <w:r w:rsidR="00FC4E59">
        <w:rPr>
          <w:rFonts w:ascii="Aptos" w:hAnsi="Aptos" w:cs="Arial"/>
          <w:sz w:val="24"/>
          <w:szCs w:val="22"/>
        </w:rPr>
        <w:t>consistent</w:t>
      </w:r>
      <w:r w:rsidRPr="00A86CEC">
        <w:rPr>
          <w:rFonts w:ascii="Aptos" w:hAnsi="Aptos" w:cs="Arial"/>
          <w:sz w:val="24"/>
          <w:szCs w:val="22"/>
        </w:rPr>
        <w:t xml:space="preserve"> with clinical education, training, or experience; and </w:t>
      </w:r>
    </w:p>
    <w:p w14:paraId="01EC0895" w14:textId="77777777" w:rsidR="006B1FED" w:rsidRPr="00A86CEC" w:rsidRDefault="006B1FED" w:rsidP="006B1FED">
      <w:pPr>
        <w:pStyle w:val="BodyText1"/>
        <w:numPr>
          <w:ilvl w:val="0"/>
          <w:numId w:val="4"/>
        </w:numPr>
        <w:spacing w:before="0" w:after="0"/>
        <w:ind w:hanging="720"/>
        <w:rPr>
          <w:rFonts w:ascii="Aptos" w:hAnsi="Aptos" w:cs="Arial"/>
          <w:sz w:val="24"/>
          <w:szCs w:val="22"/>
        </w:rPr>
      </w:pPr>
      <w:r w:rsidRPr="00A86CEC">
        <w:rPr>
          <w:rFonts w:ascii="Aptos" w:hAnsi="Aptos" w:cs="Arial"/>
          <w:sz w:val="24"/>
          <w:szCs w:val="22"/>
        </w:rPr>
        <w:t>ordering, interpreting laboratory tests, and performing Clinical Laboratory Improvement Amendments-waived lab tests.</w:t>
      </w:r>
    </w:p>
    <w:p w14:paraId="2A5F7C6F" w14:textId="77777777" w:rsidR="00C639BC" w:rsidRPr="00A86CEC" w:rsidRDefault="00C639BC" w:rsidP="006B1FED">
      <w:pPr>
        <w:pStyle w:val="BodyText1"/>
        <w:spacing w:before="0" w:after="0"/>
        <w:rPr>
          <w:rFonts w:ascii="Aptos" w:hAnsi="Aptos" w:cs="Arial"/>
          <w:sz w:val="24"/>
          <w:szCs w:val="22"/>
        </w:rPr>
      </w:pPr>
    </w:p>
    <w:p w14:paraId="632B011F" w14:textId="5F058832" w:rsidR="006B1FED" w:rsidRPr="00A86CEC" w:rsidRDefault="006B1FED" w:rsidP="006B1FED">
      <w:pPr>
        <w:pStyle w:val="BodyText1"/>
        <w:spacing w:before="0" w:after="0"/>
        <w:rPr>
          <w:rFonts w:ascii="Aptos" w:hAnsi="Aptos" w:cs="Arial"/>
          <w:sz w:val="24"/>
          <w:szCs w:val="22"/>
        </w:rPr>
      </w:pPr>
      <w:r w:rsidRPr="00A86CEC">
        <w:rPr>
          <w:rFonts w:ascii="Aptos" w:hAnsi="Aptos" w:cs="Arial"/>
          <w:sz w:val="24"/>
          <w:szCs w:val="22"/>
        </w:rPr>
        <w:t>The “practice of pharmacy” means, but is not limited to</w:t>
      </w:r>
      <w:r w:rsidR="005B526B">
        <w:rPr>
          <w:rFonts w:ascii="Aptos" w:hAnsi="Aptos" w:cs="Arial"/>
          <w:sz w:val="24"/>
          <w:szCs w:val="22"/>
        </w:rPr>
        <w:t>, the following</w:t>
      </w:r>
      <w:r w:rsidRPr="00A86CEC">
        <w:rPr>
          <w:rFonts w:ascii="Aptos" w:hAnsi="Aptos" w:cs="Arial"/>
          <w:sz w:val="24"/>
          <w:szCs w:val="22"/>
        </w:rPr>
        <w:t xml:space="preserve">: </w:t>
      </w:r>
    </w:p>
    <w:p w14:paraId="03D70072" w14:textId="77777777" w:rsidR="006B1FED" w:rsidRPr="00A86CEC" w:rsidRDefault="006B1FED" w:rsidP="006B1FED">
      <w:pPr>
        <w:pStyle w:val="BodyText1"/>
        <w:numPr>
          <w:ilvl w:val="0"/>
          <w:numId w:val="5"/>
        </w:numPr>
        <w:spacing w:before="0" w:after="0"/>
        <w:ind w:hanging="720"/>
        <w:rPr>
          <w:rFonts w:ascii="Aptos" w:hAnsi="Aptos" w:cs="Arial"/>
          <w:sz w:val="24"/>
          <w:szCs w:val="22"/>
        </w:rPr>
      </w:pPr>
      <w:r w:rsidRPr="00A86CEC">
        <w:rPr>
          <w:rFonts w:ascii="Aptos" w:hAnsi="Aptos" w:cs="Arial"/>
          <w:sz w:val="24"/>
          <w:szCs w:val="22"/>
        </w:rPr>
        <w:t xml:space="preserve">interpreting, evaluating, compounding, dispensing, and/or administering medical orders; </w:t>
      </w:r>
    </w:p>
    <w:p w14:paraId="6A38C464" w14:textId="77777777" w:rsidR="006B1FED" w:rsidRPr="00A86CEC" w:rsidRDefault="006B1FED" w:rsidP="006B1FED">
      <w:pPr>
        <w:pStyle w:val="BodyText1"/>
        <w:numPr>
          <w:ilvl w:val="0"/>
          <w:numId w:val="5"/>
        </w:numPr>
        <w:spacing w:before="0" w:after="0"/>
        <w:ind w:hanging="720"/>
        <w:rPr>
          <w:rFonts w:ascii="Aptos" w:hAnsi="Aptos" w:cs="Arial"/>
          <w:sz w:val="24"/>
          <w:szCs w:val="22"/>
        </w:rPr>
      </w:pPr>
      <w:r w:rsidRPr="00A86CEC">
        <w:rPr>
          <w:rFonts w:ascii="Aptos" w:hAnsi="Aptos" w:cs="Arial"/>
          <w:sz w:val="24"/>
          <w:szCs w:val="22"/>
        </w:rPr>
        <w:t>providing patient counseling and education;</w:t>
      </w:r>
    </w:p>
    <w:p w14:paraId="1ED32C43" w14:textId="77777777" w:rsidR="006B1FED" w:rsidRPr="00A86CEC" w:rsidRDefault="006B1FED" w:rsidP="006B1FED">
      <w:pPr>
        <w:pStyle w:val="BodyText1"/>
        <w:numPr>
          <w:ilvl w:val="0"/>
          <w:numId w:val="5"/>
        </w:numPr>
        <w:spacing w:before="0" w:after="0"/>
        <w:ind w:hanging="720"/>
        <w:rPr>
          <w:rFonts w:ascii="Aptos" w:hAnsi="Aptos" w:cs="Arial"/>
          <w:sz w:val="24"/>
          <w:szCs w:val="22"/>
        </w:rPr>
      </w:pPr>
      <w:r w:rsidRPr="00A86CEC">
        <w:rPr>
          <w:rFonts w:ascii="Aptos" w:hAnsi="Aptos" w:cs="Arial"/>
          <w:sz w:val="24"/>
          <w:szCs w:val="22"/>
        </w:rPr>
        <w:t>assessing the patient for the purposes of prescribing drugs and devices;</w:t>
      </w:r>
    </w:p>
    <w:p w14:paraId="2655CA74" w14:textId="77777777" w:rsidR="006B1FED" w:rsidRPr="00A86CEC" w:rsidRDefault="006B1FED" w:rsidP="006B1FED">
      <w:pPr>
        <w:pStyle w:val="BodyText1"/>
        <w:numPr>
          <w:ilvl w:val="0"/>
          <w:numId w:val="5"/>
        </w:numPr>
        <w:spacing w:before="0" w:after="0"/>
        <w:ind w:hanging="720"/>
        <w:rPr>
          <w:rFonts w:ascii="Aptos" w:hAnsi="Aptos" w:cs="Arial"/>
          <w:sz w:val="24"/>
          <w:szCs w:val="22"/>
        </w:rPr>
      </w:pPr>
      <w:r w:rsidRPr="00A86CEC">
        <w:rPr>
          <w:rFonts w:ascii="Aptos" w:hAnsi="Aptos" w:cs="Arial"/>
          <w:sz w:val="24"/>
          <w:szCs w:val="22"/>
        </w:rPr>
        <w:lastRenderedPageBreak/>
        <w:t>initiating and/or providing pharmacist care services;</w:t>
      </w:r>
    </w:p>
    <w:p w14:paraId="44447BE3" w14:textId="1CB68CBE" w:rsidR="006B1FED" w:rsidRPr="00A86CEC" w:rsidRDefault="006B1FED" w:rsidP="006B1FED">
      <w:pPr>
        <w:pStyle w:val="BodyText1"/>
        <w:numPr>
          <w:ilvl w:val="0"/>
          <w:numId w:val="5"/>
        </w:numPr>
        <w:spacing w:before="0" w:after="0"/>
        <w:ind w:hanging="720"/>
        <w:rPr>
          <w:rFonts w:ascii="Aptos" w:hAnsi="Aptos" w:cs="Arial"/>
          <w:sz w:val="24"/>
          <w:szCs w:val="22"/>
        </w:rPr>
      </w:pPr>
      <w:r w:rsidRPr="00A86CEC">
        <w:rPr>
          <w:rFonts w:ascii="Aptos" w:hAnsi="Aptos" w:cs="Arial"/>
          <w:sz w:val="24"/>
          <w:szCs w:val="22"/>
        </w:rPr>
        <w:t>using continuous quality improvement programs, emerging technologies, and competency-based education to improve patient safety and the quality of services provided;</w:t>
      </w:r>
      <w:r w:rsidR="006E35CD">
        <w:rPr>
          <w:rFonts w:ascii="Aptos" w:hAnsi="Aptos" w:cs="Arial"/>
          <w:sz w:val="24"/>
          <w:szCs w:val="22"/>
        </w:rPr>
        <w:t xml:space="preserve"> and</w:t>
      </w:r>
    </w:p>
    <w:p w14:paraId="125192B4" w14:textId="77777777" w:rsidR="006B1FED" w:rsidRPr="00A86CEC" w:rsidRDefault="006B1FED" w:rsidP="006B1FED">
      <w:pPr>
        <w:pStyle w:val="BodyText1"/>
        <w:numPr>
          <w:ilvl w:val="0"/>
          <w:numId w:val="5"/>
        </w:numPr>
        <w:spacing w:before="0" w:after="0"/>
        <w:ind w:hanging="720"/>
        <w:rPr>
          <w:rFonts w:ascii="Aptos" w:hAnsi="Aptos" w:cs="Arial"/>
          <w:sz w:val="24"/>
          <w:szCs w:val="22"/>
        </w:rPr>
      </w:pPr>
      <w:proofErr w:type="gramStart"/>
      <w:r w:rsidRPr="00A86CEC">
        <w:rPr>
          <w:rFonts w:ascii="Aptos" w:hAnsi="Aptos" w:cs="Arial"/>
          <w:sz w:val="24"/>
          <w:szCs w:val="22"/>
        </w:rPr>
        <w:t>engaging</w:t>
      </w:r>
      <w:proofErr w:type="gramEnd"/>
      <w:r w:rsidRPr="00A86CEC">
        <w:rPr>
          <w:rFonts w:ascii="Aptos" w:hAnsi="Aptos" w:cs="Arial"/>
          <w:sz w:val="24"/>
          <w:szCs w:val="22"/>
        </w:rPr>
        <w:t xml:space="preserve"> in collaborative pharmacy practice.</w:t>
      </w:r>
    </w:p>
    <w:p w14:paraId="5E75B1B2" w14:textId="77777777" w:rsidR="006B1FED" w:rsidRPr="00A86CEC" w:rsidRDefault="006B1FED" w:rsidP="006B1FED">
      <w:pPr>
        <w:rPr>
          <w:rFonts w:ascii="Aptos" w:hAnsi="Aptos" w:cs="Arial"/>
          <w:sz w:val="24"/>
        </w:rPr>
      </w:pPr>
    </w:p>
    <w:p w14:paraId="642EDD3E" w14:textId="77777777" w:rsidR="006B1FED" w:rsidRPr="00A86CEC" w:rsidRDefault="006B1FED" w:rsidP="006B1FED">
      <w:pPr>
        <w:rPr>
          <w:rFonts w:ascii="Aptos" w:hAnsi="Aptos" w:cs="Arial"/>
          <w:sz w:val="24"/>
        </w:rPr>
      </w:pPr>
      <w:r w:rsidRPr="00A86CEC">
        <w:rPr>
          <w:rFonts w:ascii="Aptos" w:hAnsi="Aptos" w:cs="Arial"/>
          <w:sz w:val="24"/>
        </w:rPr>
        <w:t>“Prescription adaptation” means an act by which a pharmacist uses their clinical judgment to modify or substitute a prescription issued by a practitioner to better suit the patient’s specific needs, improve safety, or ensure the therapy is effective and cost-efficient for the patient.</w:t>
      </w:r>
    </w:p>
    <w:p w14:paraId="74EA7CB8" w14:textId="3D2BFCCC" w:rsidR="006B1FED" w:rsidRPr="00A86CEC" w:rsidRDefault="006B1FED" w:rsidP="006B1FED">
      <w:pPr>
        <w:rPr>
          <w:rFonts w:ascii="Aptos" w:hAnsi="Aptos" w:cs="Arial"/>
          <w:sz w:val="24"/>
        </w:rPr>
      </w:pPr>
      <w:r w:rsidRPr="00A86CEC">
        <w:rPr>
          <w:rFonts w:ascii="Aptos" w:hAnsi="Aptos" w:cs="Arial"/>
          <w:sz w:val="24"/>
        </w:rPr>
        <w:t>“Standard of care” means the degree of care a prudent and reasonable licensee or registrant with similar education, training, and experience w</w:t>
      </w:r>
      <w:r w:rsidR="00521196">
        <w:rPr>
          <w:rFonts w:ascii="Aptos" w:hAnsi="Aptos" w:cs="Arial"/>
          <w:sz w:val="24"/>
        </w:rPr>
        <w:t>ould</w:t>
      </w:r>
      <w:r w:rsidRPr="00A86CEC">
        <w:rPr>
          <w:rFonts w:ascii="Aptos" w:hAnsi="Aptos" w:cs="Arial"/>
          <w:sz w:val="24"/>
        </w:rPr>
        <w:t xml:space="preserve"> exercise under similar circumstances.</w:t>
      </w:r>
    </w:p>
    <w:p w14:paraId="62BF9FF2" w14:textId="77777777" w:rsidR="006B1FED" w:rsidRPr="00A86CEC" w:rsidRDefault="006B1FED" w:rsidP="006B1FED">
      <w:pPr>
        <w:rPr>
          <w:rFonts w:ascii="Aptos" w:hAnsi="Aptos" w:cs="Arial"/>
          <w:sz w:val="24"/>
        </w:rPr>
      </w:pPr>
    </w:p>
    <w:p w14:paraId="6C67DF8D" w14:textId="77777777" w:rsidR="006B1FED" w:rsidRPr="001F05BF" w:rsidRDefault="006B1FED" w:rsidP="00C47812">
      <w:pPr>
        <w:pStyle w:val="Heading2"/>
        <w:rPr>
          <w:color w:val="auto"/>
        </w:rPr>
      </w:pPr>
      <w:bookmarkStart w:id="7" w:name="_Toc233895278"/>
      <w:r w:rsidRPr="001F05BF">
        <w:rPr>
          <w:color w:val="auto"/>
        </w:rPr>
        <w:t>Article II. Professional Practice Standards</w:t>
      </w:r>
      <w:bookmarkEnd w:id="7"/>
    </w:p>
    <w:p w14:paraId="5688C68A" w14:textId="77777777" w:rsidR="00C47812" w:rsidRPr="001F05BF" w:rsidRDefault="006B1FED" w:rsidP="00C47812">
      <w:pPr>
        <w:pStyle w:val="Heading3"/>
        <w:rPr>
          <w:color w:val="auto"/>
        </w:rPr>
      </w:pPr>
      <w:bookmarkStart w:id="8" w:name="_Toc233895279"/>
      <w:r w:rsidRPr="001F05BF">
        <w:rPr>
          <w:color w:val="auto"/>
        </w:rPr>
        <w:t>Section 201. General Approach to Pharmacist Practice.</w:t>
      </w:r>
      <w:bookmarkEnd w:id="8"/>
      <w:r w:rsidRPr="001F05BF">
        <w:rPr>
          <w:color w:val="auto"/>
        </w:rPr>
        <w:t xml:space="preserve"> </w:t>
      </w:r>
    </w:p>
    <w:p w14:paraId="67F81FDA" w14:textId="688BCEC8" w:rsidR="006B1FED" w:rsidRPr="00A86CEC" w:rsidRDefault="006B1FED" w:rsidP="006B1FED">
      <w:pPr>
        <w:rPr>
          <w:rFonts w:ascii="Aptos" w:hAnsi="Aptos" w:cs="Arial"/>
          <w:sz w:val="24"/>
        </w:rPr>
      </w:pPr>
      <w:r w:rsidRPr="00A86CEC">
        <w:rPr>
          <w:rFonts w:ascii="Aptos" w:hAnsi="Aptos" w:cs="Arial"/>
          <w:sz w:val="24"/>
        </w:rPr>
        <w:t>To evaluate whether a specific action is within the practice of pharmacy, or whether an action can be delegated to other individuals, a licensee or registrant shall independently determine whether:</w:t>
      </w:r>
    </w:p>
    <w:p w14:paraId="34EAE34F" w14:textId="6C10836D" w:rsidR="006B1FED" w:rsidRPr="00A86CEC" w:rsidRDefault="006B1FED" w:rsidP="006B1FED">
      <w:pPr>
        <w:numPr>
          <w:ilvl w:val="0"/>
          <w:numId w:val="1"/>
        </w:numPr>
        <w:spacing w:line="278" w:lineRule="auto"/>
        <w:rPr>
          <w:rFonts w:ascii="Aptos" w:hAnsi="Aptos" w:cs="Arial"/>
          <w:sz w:val="24"/>
        </w:rPr>
      </w:pPr>
      <w:r w:rsidRPr="00A86CEC">
        <w:rPr>
          <w:rFonts w:ascii="Aptos" w:hAnsi="Aptos" w:cs="Arial"/>
          <w:sz w:val="24"/>
        </w:rPr>
        <w:t xml:space="preserve">The action is expressly prohibited by this Act, the Pharmacy Practice Act, the Uniform Controlled Substances Act, rules of the </w:t>
      </w:r>
      <w:r w:rsidR="00521196">
        <w:rPr>
          <w:rFonts w:ascii="Aptos" w:hAnsi="Aptos" w:cs="Arial"/>
          <w:sz w:val="24"/>
        </w:rPr>
        <w:t>b</w:t>
      </w:r>
      <w:r w:rsidRPr="00A86CEC">
        <w:rPr>
          <w:rFonts w:ascii="Aptos" w:hAnsi="Aptos" w:cs="Arial"/>
          <w:sz w:val="24"/>
        </w:rPr>
        <w:t>oard, or any other applicable state or federal laws.</w:t>
      </w:r>
    </w:p>
    <w:p w14:paraId="321F23DE" w14:textId="2ADA79B8" w:rsidR="006B1FED" w:rsidRPr="00A86CEC" w:rsidRDefault="006B1FED" w:rsidP="006B1FED">
      <w:pPr>
        <w:numPr>
          <w:ilvl w:val="0"/>
          <w:numId w:val="1"/>
        </w:numPr>
        <w:spacing w:line="278" w:lineRule="auto"/>
        <w:rPr>
          <w:rFonts w:ascii="Aptos" w:hAnsi="Aptos" w:cs="Arial"/>
          <w:sz w:val="24"/>
        </w:rPr>
      </w:pPr>
      <w:r w:rsidRPr="00A86CEC">
        <w:rPr>
          <w:rFonts w:ascii="Aptos" w:hAnsi="Aptos" w:cs="Arial"/>
          <w:sz w:val="24"/>
        </w:rPr>
        <w:t>The action is consistent with the individual</w:t>
      </w:r>
      <w:r w:rsidR="00521196">
        <w:rPr>
          <w:rFonts w:ascii="Aptos" w:hAnsi="Aptos" w:cs="Arial"/>
          <w:sz w:val="24"/>
        </w:rPr>
        <w:t>’</w:t>
      </w:r>
      <w:r w:rsidRPr="00A86CEC">
        <w:rPr>
          <w:rFonts w:ascii="Aptos" w:hAnsi="Aptos" w:cs="Arial"/>
          <w:sz w:val="24"/>
        </w:rPr>
        <w:t>s education, training, and experience.</w:t>
      </w:r>
    </w:p>
    <w:p w14:paraId="6FAFD124" w14:textId="77777777" w:rsidR="006B1FED" w:rsidRPr="00A86CEC" w:rsidRDefault="006B1FED" w:rsidP="006B1FED">
      <w:pPr>
        <w:numPr>
          <w:ilvl w:val="0"/>
          <w:numId w:val="1"/>
        </w:numPr>
        <w:spacing w:line="278" w:lineRule="auto"/>
        <w:rPr>
          <w:rFonts w:ascii="Aptos" w:hAnsi="Aptos" w:cs="Arial"/>
          <w:sz w:val="24"/>
        </w:rPr>
      </w:pPr>
      <w:r w:rsidRPr="00A86CEC">
        <w:rPr>
          <w:rFonts w:ascii="Aptos" w:hAnsi="Aptos" w:cs="Arial"/>
          <w:sz w:val="24"/>
        </w:rPr>
        <w:t>Performance of the action is within the accepted standard of care that would be provided in a similar setting by a reasonable and prudent individual with similar education, training, and experience.</w:t>
      </w:r>
    </w:p>
    <w:p w14:paraId="2490B726" w14:textId="77777777" w:rsidR="00C47812" w:rsidRPr="001F05BF" w:rsidRDefault="006B1FED" w:rsidP="00C47812">
      <w:pPr>
        <w:pStyle w:val="Heading3"/>
        <w:rPr>
          <w:color w:val="auto"/>
        </w:rPr>
      </w:pPr>
      <w:bookmarkStart w:id="9" w:name="_Toc233895280"/>
      <w:r w:rsidRPr="001F05BF">
        <w:rPr>
          <w:color w:val="auto"/>
        </w:rPr>
        <w:t>Section 202. Practice Innovation.</w:t>
      </w:r>
      <w:bookmarkEnd w:id="9"/>
      <w:r w:rsidRPr="001F05BF">
        <w:rPr>
          <w:color w:val="auto"/>
        </w:rPr>
        <w:t xml:space="preserve"> </w:t>
      </w:r>
    </w:p>
    <w:p w14:paraId="46F73595" w14:textId="41D800FE" w:rsidR="006B1FED" w:rsidRPr="00A86CEC" w:rsidRDefault="006B1FED" w:rsidP="006B1FED">
      <w:pPr>
        <w:rPr>
          <w:rFonts w:ascii="Aptos" w:hAnsi="Aptos" w:cs="Arial"/>
          <w:sz w:val="24"/>
        </w:rPr>
      </w:pPr>
      <w:r w:rsidRPr="00A86CEC">
        <w:rPr>
          <w:rFonts w:ascii="Aptos" w:hAnsi="Aptos" w:cs="Arial"/>
          <w:sz w:val="24"/>
        </w:rPr>
        <w:t xml:space="preserve">The </w:t>
      </w:r>
      <w:r w:rsidR="00521196">
        <w:rPr>
          <w:rFonts w:ascii="Aptos" w:hAnsi="Aptos" w:cs="Arial"/>
          <w:sz w:val="24"/>
        </w:rPr>
        <w:t>b</w:t>
      </w:r>
      <w:r w:rsidRPr="00A86CEC">
        <w:rPr>
          <w:rFonts w:ascii="Aptos" w:hAnsi="Aptos" w:cs="Arial"/>
          <w:sz w:val="24"/>
        </w:rPr>
        <w:t>oard shall not require express permission for the implementation of new technology or clinical services that are not otherwise prohibited by law, provided that the services are performed in accordance with the standard of care.</w:t>
      </w:r>
    </w:p>
    <w:p w14:paraId="2B835D40" w14:textId="77777777" w:rsidR="00C47812" w:rsidRPr="001F05BF" w:rsidRDefault="006B1FED" w:rsidP="00C47812">
      <w:pPr>
        <w:pStyle w:val="Heading3"/>
        <w:rPr>
          <w:color w:val="auto"/>
        </w:rPr>
      </w:pPr>
      <w:bookmarkStart w:id="10" w:name="_Toc233895281"/>
      <w:r w:rsidRPr="001F05BF">
        <w:rPr>
          <w:color w:val="auto"/>
        </w:rPr>
        <w:t>Section 203. Pharmacist Prescribing Authority.</w:t>
      </w:r>
      <w:bookmarkEnd w:id="10"/>
      <w:r w:rsidRPr="001F05BF">
        <w:rPr>
          <w:color w:val="auto"/>
        </w:rPr>
        <w:t xml:space="preserve"> </w:t>
      </w:r>
    </w:p>
    <w:p w14:paraId="14CF775D" w14:textId="54BB2B92" w:rsidR="006B1FED" w:rsidRPr="00A86CEC" w:rsidRDefault="006B1FED" w:rsidP="006B1FED">
      <w:pPr>
        <w:rPr>
          <w:rFonts w:ascii="Aptos" w:hAnsi="Aptos" w:cs="Arial"/>
          <w:sz w:val="24"/>
        </w:rPr>
      </w:pPr>
      <w:r w:rsidRPr="00A86CEC">
        <w:rPr>
          <w:rFonts w:ascii="Aptos" w:hAnsi="Aptos" w:cs="Arial"/>
          <w:sz w:val="24"/>
        </w:rPr>
        <w:t>A pharmacist may independently prescribe drugs and devices if such pharmacist:</w:t>
      </w:r>
    </w:p>
    <w:p w14:paraId="7622E347" w14:textId="29359390" w:rsidR="006B1FED" w:rsidRPr="00A86CEC" w:rsidRDefault="006B1FED" w:rsidP="006B1FED">
      <w:pPr>
        <w:numPr>
          <w:ilvl w:val="0"/>
          <w:numId w:val="2"/>
        </w:numPr>
        <w:spacing w:line="278" w:lineRule="auto"/>
        <w:rPr>
          <w:rFonts w:ascii="Aptos" w:hAnsi="Aptos" w:cs="Arial"/>
          <w:sz w:val="24"/>
        </w:rPr>
      </w:pPr>
      <w:r w:rsidRPr="00A86CEC">
        <w:rPr>
          <w:rFonts w:ascii="Aptos" w:hAnsi="Aptos" w:cs="Arial"/>
          <w:sz w:val="24"/>
        </w:rPr>
        <w:lastRenderedPageBreak/>
        <w:t>Obtains adequate information about the patient’s health status to make appropriate decisions based on the standard of care and best available evidence</w:t>
      </w:r>
    </w:p>
    <w:p w14:paraId="33761959" w14:textId="3D1EF99D" w:rsidR="006B1FED" w:rsidRPr="00A86CEC" w:rsidRDefault="006B1FED" w:rsidP="006B1FED">
      <w:pPr>
        <w:numPr>
          <w:ilvl w:val="0"/>
          <w:numId w:val="2"/>
        </w:numPr>
        <w:spacing w:line="278" w:lineRule="auto"/>
        <w:rPr>
          <w:rFonts w:ascii="Aptos" w:hAnsi="Aptos" w:cs="Arial"/>
          <w:sz w:val="24"/>
        </w:rPr>
      </w:pPr>
      <w:r w:rsidRPr="00A86CEC">
        <w:rPr>
          <w:rFonts w:ascii="Aptos" w:hAnsi="Aptos" w:cs="Arial"/>
          <w:sz w:val="24"/>
        </w:rPr>
        <w:t>Maintains adequate documentation</w:t>
      </w:r>
      <w:r w:rsidR="005A31ED">
        <w:rPr>
          <w:rFonts w:ascii="Aptos" w:hAnsi="Aptos" w:cs="Arial"/>
          <w:sz w:val="24"/>
        </w:rPr>
        <w:t>,</w:t>
      </w:r>
      <w:r w:rsidRPr="00A86CEC">
        <w:rPr>
          <w:rFonts w:ascii="Aptos" w:hAnsi="Aptos" w:cs="Arial"/>
          <w:sz w:val="24"/>
        </w:rPr>
        <w:t xml:space="preserve"> which shall become part of the patient</w:t>
      </w:r>
      <w:r w:rsidR="005A31ED">
        <w:rPr>
          <w:rFonts w:ascii="Aptos" w:hAnsi="Aptos" w:cs="Arial"/>
          <w:sz w:val="24"/>
        </w:rPr>
        <w:t>’</w:t>
      </w:r>
      <w:r w:rsidRPr="00A86CEC">
        <w:rPr>
          <w:rFonts w:ascii="Aptos" w:hAnsi="Aptos" w:cs="Arial"/>
          <w:sz w:val="24"/>
        </w:rPr>
        <w:t>s permanent record and be readily available to other health</w:t>
      </w:r>
      <w:r w:rsidR="00B141B7">
        <w:rPr>
          <w:rFonts w:ascii="Aptos" w:hAnsi="Aptos" w:cs="Arial"/>
          <w:sz w:val="24"/>
        </w:rPr>
        <w:t xml:space="preserve"> </w:t>
      </w:r>
      <w:r w:rsidRPr="00A86CEC">
        <w:rPr>
          <w:rFonts w:ascii="Aptos" w:hAnsi="Aptos" w:cs="Arial"/>
          <w:sz w:val="24"/>
        </w:rPr>
        <w:t>care professionals who are providing care to that patient and who are authorized to receive it</w:t>
      </w:r>
    </w:p>
    <w:p w14:paraId="2761F3E5" w14:textId="77777777" w:rsidR="00C47812" w:rsidRPr="00A86CEC" w:rsidRDefault="00C47812" w:rsidP="00C47812">
      <w:pPr>
        <w:spacing w:line="278" w:lineRule="auto"/>
        <w:rPr>
          <w:rFonts w:ascii="Aptos" w:hAnsi="Aptos" w:cs="Arial"/>
          <w:sz w:val="24"/>
        </w:rPr>
      </w:pPr>
    </w:p>
    <w:p w14:paraId="14B4C85E" w14:textId="77777777" w:rsidR="006B1FED" w:rsidRPr="001F05BF" w:rsidRDefault="006B1FED" w:rsidP="00C47812">
      <w:pPr>
        <w:pStyle w:val="Heading2"/>
        <w:rPr>
          <w:color w:val="auto"/>
        </w:rPr>
      </w:pPr>
      <w:bookmarkStart w:id="11" w:name="_Toc233895282"/>
      <w:r w:rsidRPr="001F05BF">
        <w:rPr>
          <w:color w:val="auto"/>
        </w:rPr>
        <w:t>Article III. Delegation and Personnel</w:t>
      </w:r>
      <w:bookmarkEnd w:id="11"/>
    </w:p>
    <w:p w14:paraId="422F985D" w14:textId="77777777" w:rsidR="006B5208" w:rsidRPr="001F05BF" w:rsidRDefault="006B1FED" w:rsidP="006B5208">
      <w:pPr>
        <w:pStyle w:val="Heading3"/>
        <w:rPr>
          <w:color w:val="auto"/>
        </w:rPr>
      </w:pPr>
      <w:bookmarkStart w:id="12" w:name="_Toc233895283"/>
      <w:r w:rsidRPr="001F05BF">
        <w:rPr>
          <w:color w:val="auto"/>
        </w:rPr>
        <w:t>Section 301. Delegation of Functions.</w:t>
      </w:r>
      <w:bookmarkEnd w:id="12"/>
      <w:r w:rsidRPr="001F05BF">
        <w:rPr>
          <w:color w:val="auto"/>
        </w:rPr>
        <w:t xml:space="preserve"> </w:t>
      </w:r>
    </w:p>
    <w:p w14:paraId="76778002" w14:textId="0DBDB759" w:rsidR="006B1FED" w:rsidRPr="00A86CEC" w:rsidRDefault="006B1FED" w:rsidP="006B1FED">
      <w:pPr>
        <w:rPr>
          <w:rFonts w:ascii="Aptos" w:hAnsi="Aptos" w:cs="Arial"/>
          <w:sz w:val="24"/>
        </w:rPr>
      </w:pPr>
      <w:r w:rsidRPr="00A86CEC">
        <w:rPr>
          <w:rFonts w:ascii="Aptos" w:hAnsi="Aptos" w:cs="Arial"/>
          <w:sz w:val="24"/>
        </w:rPr>
        <w:t xml:space="preserve">A pharmacist may delegate any task to any individual under their supervision, provided the pharmacist determines the delegate has the requisite education, training, and experience to perform the task safely and within the standard of care. </w:t>
      </w:r>
    </w:p>
    <w:p w14:paraId="6176BFF7" w14:textId="77777777" w:rsidR="006B1FED" w:rsidRPr="00A86CEC" w:rsidRDefault="006B1FED" w:rsidP="006B1FED">
      <w:pPr>
        <w:rPr>
          <w:rFonts w:ascii="Aptos" w:hAnsi="Aptos" w:cs="Arial"/>
          <w:sz w:val="24"/>
        </w:rPr>
      </w:pPr>
    </w:p>
    <w:p w14:paraId="23AF4EA8" w14:textId="77777777" w:rsidR="006B1FED" w:rsidRPr="001F05BF" w:rsidRDefault="006B1FED" w:rsidP="00C639BC">
      <w:pPr>
        <w:pStyle w:val="Heading2"/>
        <w:rPr>
          <w:color w:val="auto"/>
        </w:rPr>
      </w:pPr>
      <w:bookmarkStart w:id="13" w:name="_Toc233895284"/>
      <w:r w:rsidRPr="001F05BF">
        <w:rPr>
          <w:color w:val="auto"/>
        </w:rPr>
        <w:t>Article IV. Discipline and Accountability</w:t>
      </w:r>
      <w:bookmarkEnd w:id="13"/>
    </w:p>
    <w:p w14:paraId="480BD3FA" w14:textId="77777777" w:rsidR="00C639BC" w:rsidRPr="001F05BF" w:rsidRDefault="006B1FED" w:rsidP="00C639BC">
      <w:pPr>
        <w:pStyle w:val="Heading3"/>
        <w:rPr>
          <w:color w:val="auto"/>
        </w:rPr>
      </w:pPr>
      <w:bookmarkStart w:id="14" w:name="_Toc233895285"/>
      <w:r w:rsidRPr="001F05BF">
        <w:rPr>
          <w:color w:val="auto"/>
        </w:rPr>
        <w:t>Section 401. Grounds for Discipline.</w:t>
      </w:r>
      <w:bookmarkEnd w:id="14"/>
      <w:r w:rsidRPr="001F05BF">
        <w:rPr>
          <w:color w:val="auto"/>
        </w:rPr>
        <w:t xml:space="preserve"> </w:t>
      </w:r>
    </w:p>
    <w:p w14:paraId="17695A67" w14:textId="33B27A54" w:rsidR="006B1FED" w:rsidRPr="00A86CEC" w:rsidRDefault="006B1FED" w:rsidP="006B1FED">
      <w:pPr>
        <w:rPr>
          <w:rFonts w:ascii="Aptos" w:hAnsi="Aptos" w:cs="Arial"/>
          <w:sz w:val="24"/>
        </w:rPr>
      </w:pPr>
      <w:r w:rsidRPr="00A86CEC">
        <w:rPr>
          <w:rFonts w:ascii="Aptos" w:hAnsi="Aptos" w:cs="Arial"/>
          <w:sz w:val="24"/>
        </w:rPr>
        <w:t xml:space="preserve">The </w:t>
      </w:r>
      <w:r w:rsidR="00EA15EF">
        <w:rPr>
          <w:rFonts w:ascii="Aptos" w:hAnsi="Aptos" w:cs="Arial"/>
          <w:sz w:val="24"/>
        </w:rPr>
        <w:t>b</w:t>
      </w:r>
      <w:r w:rsidRPr="00A86CEC">
        <w:rPr>
          <w:rFonts w:ascii="Aptos" w:hAnsi="Aptos" w:cs="Arial"/>
          <w:sz w:val="24"/>
        </w:rPr>
        <w:t>oard may discipline a licensee or registrant for unprofessional conduct, which includes</w:t>
      </w:r>
      <w:r w:rsidR="00EA15EF">
        <w:rPr>
          <w:rFonts w:ascii="Aptos" w:hAnsi="Aptos" w:cs="Arial"/>
          <w:sz w:val="24"/>
        </w:rPr>
        <w:t xml:space="preserve"> the following</w:t>
      </w:r>
      <w:r w:rsidRPr="00A86CEC">
        <w:rPr>
          <w:rFonts w:ascii="Aptos" w:hAnsi="Aptos" w:cs="Arial"/>
          <w:sz w:val="24"/>
        </w:rPr>
        <w:t>:</w:t>
      </w:r>
    </w:p>
    <w:p w14:paraId="3FBDCCF4" w14:textId="5E0B0B79" w:rsidR="006B1FED" w:rsidRPr="00A86CEC" w:rsidRDefault="006B1FED" w:rsidP="006B1FED">
      <w:pPr>
        <w:numPr>
          <w:ilvl w:val="0"/>
          <w:numId w:val="3"/>
        </w:numPr>
        <w:spacing w:line="278" w:lineRule="auto"/>
        <w:rPr>
          <w:rFonts w:ascii="Aptos" w:hAnsi="Aptos" w:cs="Arial"/>
          <w:sz w:val="24"/>
        </w:rPr>
      </w:pPr>
      <w:r w:rsidRPr="00A86CEC">
        <w:rPr>
          <w:rFonts w:ascii="Aptos" w:hAnsi="Aptos" w:cs="Arial"/>
          <w:sz w:val="24"/>
        </w:rPr>
        <w:t>Standard of Care Violations: Actions or omissions that fail to meet the standard of care provided by other qualified licensees or registrants in the same or similar setting</w:t>
      </w:r>
    </w:p>
    <w:p w14:paraId="6F6C7492" w14:textId="49475FB4" w:rsidR="006B1FED" w:rsidRPr="00A86CEC" w:rsidRDefault="006B1FED" w:rsidP="006B1FED">
      <w:pPr>
        <w:numPr>
          <w:ilvl w:val="0"/>
          <w:numId w:val="3"/>
        </w:numPr>
        <w:spacing w:line="278" w:lineRule="auto"/>
        <w:rPr>
          <w:rFonts w:ascii="Aptos" w:hAnsi="Aptos" w:cs="Arial"/>
          <w:sz w:val="24"/>
        </w:rPr>
      </w:pPr>
      <w:r w:rsidRPr="00A86CEC">
        <w:rPr>
          <w:rFonts w:ascii="Aptos" w:hAnsi="Aptos" w:cs="Arial"/>
          <w:sz w:val="24"/>
        </w:rPr>
        <w:t>Incapacity: A lack of fitness for professional practice due to incompetency or impairment that endangers the public</w:t>
      </w:r>
    </w:p>
    <w:p w14:paraId="2EC0ED44" w14:textId="645FA26A" w:rsidR="006B1FED" w:rsidRPr="00A86CEC" w:rsidRDefault="006B1FED" w:rsidP="006B1FED">
      <w:pPr>
        <w:numPr>
          <w:ilvl w:val="0"/>
          <w:numId w:val="3"/>
        </w:numPr>
        <w:spacing w:line="278" w:lineRule="auto"/>
        <w:rPr>
          <w:rFonts w:ascii="Aptos" w:hAnsi="Aptos" w:cs="Arial"/>
          <w:sz w:val="24"/>
        </w:rPr>
      </w:pPr>
      <w:r w:rsidRPr="00A86CEC">
        <w:rPr>
          <w:rFonts w:ascii="Aptos" w:hAnsi="Aptos" w:cs="Arial"/>
          <w:sz w:val="24"/>
        </w:rPr>
        <w:t xml:space="preserve">Divergence </w:t>
      </w:r>
      <w:r w:rsidR="00EA15EF">
        <w:rPr>
          <w:rFonts w:ascii="Aptos" w:hAnsi="Aptos" w:cs="Arial"/>
          <w:sz w:val="24"/>
        </w:rPr>
        <w:t>F</w:t>
      </w:r>
      <w:r w:rsidRPr="00A86CEC">
        <w:rPr>
          <w:rFonts w:ascii="Aptos" w:hAnsi="Aptos" w:cs="Arial"/>
          <w:sz w:val="24"/>
        </w:rPr>
        <w:t>rom Professional Prudence: Engaging in conduct that substantially departs from the standards of care ordinarily exercised by a licensee or registrant, regardless of whether actual injury to a patient is established</w:t>
      </w:r>
    </w:p>
    <w:p w14:paraId="210D947A" w14:textId="67BF8BFD" w:rsidR="00C639BC" w:rsidRPr="001F05BF" w:rsidRDefault="006B1FED" w:rsidP="001550BF">
      <w:pPr>
        <w:pStyle w:val="Heading3"/>
        <w:rPr>
          <w:color w:val="auto"/>
        </w:rPr>
      </w:pPr>
      <w:bookmarkStart w:id="15" w:name="_Toc233895286"/>
      <w:r w:rsidRPr="001F05BF">
        <w:rPr>
          <w:color w:val="auto"/>
        </w:rPr>
        <w:t>Section 402. Waiver Authority.</w:t>
      </w:r>
      <w:bookmarkEnd w:id="15"/>
    </w:p>
    <w:p w14:paraId="3A5B16A8" w14:textId="087A955A" w:rsidR="006B1FED" w:rsidRPr="00A86CEC" w:rsidRDefault="006B1FED" w:rsidP="006B1FED">
      <w:pPr>
        <w:rPr>
          <w:rFonts w:ascii="Aptos" w:hAnsi="Aptos" w:cs="Arial"/>
          <w:sz w:val="24"/>
        </w:rPr>
      </w:pPr>
      <w:r w:rsidRPr="00A86CEC">
        <w:rPr>
          <w:rFonts w:ascii="Aptos" w:hAnsi="Aptos" w:cs="Arial"/>
          <w:sz w:val="24"/>
        </w:rPr>
        <w:t xml:space="preserve">The </w:t>
      </w:r>
      <w:r w:rsidR="00EA15EF">
        <w:rPr>
          <w:rFonts w:ascii="Aptos" w:hAnsi="Aptos" w:cs="Arial"/>
          <w:sz w:val="24"/>
        </w:rPr>
        <w:t>b</w:t>
      </w:r>
      <w:r w:rsidRPr="00A86CEC">
        <w:rPr>
          <w:rFonts w:ascii="Aptos" w:hAnsi="Aptos" w:cs="Arial"/>
          <w:sz w:val="24"/>
        </w:rPr>
        <w:t xml:space="preserve">oard is authorized to grant waivers from state rules or laws pertaining to the practice of pharmacy if the request is in the best interest of the public. </w:t>
      </w:r>
    </w:p>
    <w:p w14:paraId="5380F369" w14:textId="77777777" w:rsidR="006B1FED" w:rsidRPr="00A86CEC" w:rsidRDefault="006B1FED" w:rsidP="006B1FED">
      <w:pPr>
        <w:rPr>
          <w:rFonts w:ascii="Aptos" w:hAnsi="Aptos" w:cs="Arial"/>
          <w:sz w:val="24"/>
        </w:rPr>
      </w:pPr>
    </w:p>
    <w:p w14:paraId="1506EED2" w14:textId="77777777" w:rsidR="006B1FED" w:rsidRPr="006B1FED" w:rsidRDefault="006B1FED" w:rsidP="006B1FED">
      <w:pPr>
        <w:rPr>
          <w:rFonts w:ascii="Aptos" w:eastAsia="Aptos" w:hAnsi="Aptos" w:cs="Times New Roman"/>
        </w:rPr>
      </w:pPr>
    </w:p>
    <w:bookmarkEnd w:id="2"/>
    <w:p w14:paraId="3AD88CB6" w14:textId="6FA82353" w:rsidR="006B1FED" w:rsidRPr="00A86CEC" w:rsidRDefault="006B1FED" w:rsidP="006B1FED">
      <w:pPr>
        <w:rPr>
          <w:rFonts w:ascii="Aptos" w:eastAsia="Aptos" w:hAnsi="Aptos" w:cs="Arial"/>
          <w:sz w:val="24"/>
        </w:rPr>
      </w:pPr>
    </w:p>
    <w:sectPr w:rsidR="006B1FED" w:rsidRPr="00A86CEC" w:rsidSect="00216BD2">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3640B" w14:textId="77777777" w:rsidR="008A4B1D" w:rsidRDefault="008A4B1D" w:rsidP="006B1FED">
      <w:pPr>
        <w:spacing w:after="0" w:line="240" w:lineRule="auto"/>
      </w:pPr>
      <w:r>
        <w:separator/>
      </w:r>
    </w:p>
  </w:endnote>
  <w:endnote w:type="continuationSeparator" w:id="0">
    <w:p w14:paraId="51E2EBC8" w14:textId="77777777" w:rsidR="008A4B1D" w:rsidRDefault="008A4B1D" w:rsidP="006B1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B4BA" w14:textId="77777777" w:rsidR="00216BD2" w:rsidRDefault="00216B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872091"/>
      <w:docPartObj>
        <w:docPartGallery w:val="Page Numbers (Bottom of Page)"/>
        <w:docPartUnique/>
      </w:docPartObj>
    </w:sdtPr>
    <w:sdtEndPr>
      <w:rPr>
        <w:noProof/>
      </w:rPr>
    </w:sdtEndPr>
    <w:sdtContent>
      <w:p w14:paraId="20D2CF38" w14:textId="4E184737" w:rsidR="00216BD2" w:rsidRDefault="00216B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3D86B1" w14:textId="77777777" w:rsidR="00A549B7" w:rsidRDefault="00A54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6628" w14:textId="77777777" w:rsidR="00216BD2" w:rsidRDefault="00216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6F4C4" w14:textId="77777777" w:rsidR="008A4B1D" w:rsidRDefault="008A4B1D" w:rsidP="006B1FED">
      <w:pPr>
        <w:spacing w:after="0" w:line="240" w:lineRule="auto"/>
      </w:pPr>
      <w:r>
        <w:separator/>
      </w:r>
    </w:p>
  </w:footnote>
  <w:footnote w:type="continuationSeparator" w:id="0">
    <w:p w14:paraId="04CF6CC1" w14:textId="77777777" w:rsidR="008A4B1D" w:rsidRDefault="008A4B1D" w:rsidP="006B1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FCE03" w14:textId="77777777" w:rsidR="00216BD2" w:rsidRDefault="00216B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2D74B" w14:textId="77777777" w:rsidR="00216BD2" w:rsidRDefault="00216B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FF9E8" w14:textId="77777777" w:rsidR="00216BD2" w:rsidRDefault="00216B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61A26"/>
    <w:multiLevelType w:val="hybridMultilevel"/>
    <w:tmpl w:val="B61276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212C73"/>
    <w:multiLevelType w:val="multilevel"/>
    <w:tmpl w:val="C6DEE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DA2AFC"/>
    <w:multiLevelType w:val="multilevel"/>
    <w:tmpl w:val="8BA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F24930"/>
    <w:multiLevelType w:val="multilevel"/>
    <w:tmpl w:val="DB3AF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CA34C63"/>
    <w:multiLevelType w:val="hybridMultilevel"/>
    <w:tmpl w:val="70FABC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28091180">
    <w:abstractNumId w:val="2"/>
  </w:num>
  <w:num w:numId="2" w16cid:durableId="190194399">
    <w:abstractNumId w:val="3"/>
  </w:num>
  <w:num w:numId="3" w16cid:durableId="1072586969">
    <w:abstractNumId w:val="1"/>
  </w:num>
  <w:num w:numId="4" w16cid:durableId="1625044422">
    <w:abstractNumId w:val="0"/>
  </w:num>
  <w:num w:numId="5" w16cid:durableId="631861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FED"/>
    <w:rsid w:val="00024C5C"/>
    <w:rsid w:val="00084E91"/>
    <w:rsid w:val="000B3CAB"/>
    <w:rsid w:val="001550BF"/>
    <w:rsid w:val="001D75A4"/>
    <w:rsid w:val="001F05BF"/>
    <w:rsid w:val="001F7CB2"/>
    <w:rsid w:val="00216BD2"/>
    <w:rsid w:val="002A0376"/>
    <w:rsid w:val="002A2322"/>
    <w:rsid w:val="003172DA"/>
    <w:rsid w:val="003F3B3B"/>
    <w:rsid w:val="00511EA2"/>
    <w:rsid w:val="00521196"/>
    <w:rsid w:val="00570ADD"/>
    <w:rsid w:val="005A31ED"/>
    <w:rsid w:val="005B526B"/>
    <w:rsid w:val="005E5783"/>
    <w:rsid w:val="006259AC"/>
    <w:rsid w:val="00681942"/>
    <w:rsid w:val="006B1FED"/>
    <w:rsid w:val="006B5208"/>
    <w:rsid w:val="006C0595"/>
    <w:rsid w:val="006E29EF"/>
    <w:rsid w:val="006E35CD"/>
    <w:rsid w:val="00743069"/>
    <w:rsid w:val="007715E5"/>
    <w:rsid w:val="007E7161"/>
    <w:rsid w:val="00881996"/>
    <w:rsid w:val="008A4B1D"/>
    <w:rsid w:val="008D5184"/>
    <w:rsid w:val="00915EFD"/>
    <w:rsid w:val="00A00904"/>
    <w:rsid w:val="00A10A16"/>
    <w:rsid w:val="00A549B7"/>
    <w:rsid w:val="00A85773"/>
    <w:rsid w:val="00A86CEC"/>
    <w:rsid w:val="00A94874"/>
    <w:rsid w:val="00B141B7"/>
    <w:rsid w:val="00BC63F4"/>
    <w:rsid w:val="00BD22C5"/>
    <w:rsid w:val="00C0048E"/>
    <w:rsid w:val="00C47812"/>
    <w:rsid w:val="00C639BC"/>
    <w:rsid w:val="00C6655D"/>
    <w:rsid w:val="00C9388C"/>
    <w:rsid w:val="00DC624E"/>
    <w:rsid w:val="00E62219"/>
    <w:rsid w:val="00EA15EF"/>
    <w:rsid w:val="00F40349"/>
    <w:rsid w:val="00F61895"/>
    <w:rsid w:val="00F65CFB"/>
    <w:rsid w:val="00F7346D"/>
    <w:rsid w:val="00FC4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6EBA9"/>
  <w15:chartTrackingRefBased/>
  <w15:docId w15:val="{752868C5-454F-4E78-A865-9FD244184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FED"/>
    <w:pPr>
      <w:spacing w:line="259" w:lineRule="auto"/>
    </w:pPr>
    <w:rPr>
      <w:kern w:val="0"/>
      <w:sz w:val="22"/>
      <w:szCs w:val="22"/>
      <w14:ligatures w14:val="none"/>
    </w:rPr>
  </w:style>
  <w:style w:type="paragraph" w:styleId="Heading1">
    <w:name w:val="heading 1"/>
    <w:basedOn w:val="Normal"/>
    <w:next w:val="Normal"/>
    <w:link w:val="Heading1Char"/>
    <w:uiPriority w:val="9"/>
    <w:qFormat/>
    <w:rsid w:val="006B1F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B1F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B1F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1F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1F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1F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1F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1F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1F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F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B1F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B1F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1F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1F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1F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1F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1F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1FED"/>
    <w:rPr>
      <w:rFonts w:eastAsiaTheme="majorEastAsia" w:cstheme="majorBidi"/>
      <w:color w:val="272727" w:themeColor="text1" w:themeTint="D8"/>
    </w:rPr>
  </w:style>
  <w:style w:type="paragraph" w:styleId="Title">
    <w:name w:val="Title"/>
    <w:basedOn w:val="Normal"/>
    <w:next w:val="Normal"/>
    <w:link w:val="TitleChar"/>
    <w:qFormat/>
    <w:rsid w:val="006B1F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B1F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1F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1F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1FED"/>
    <w:pPr>
      <w:spacing w:before="160"/>
      <w:jc w:val="center"/>
    </w:pPr>
    <w:rPr>
      <w:i/>
      <w:iCs/>
      <w:color w:val="404040" w:themeColor="text1" w:themeTint="BF"/>
    </w:rPr>
  </w:style>
  <w:style w:type="character" w:customStyle="1" w:styleId="QuoteChar">
    <w:name w:val="Quote Char"/>
    <w:basedOn w:val="DefaultParagraphFont"/>
    <w:link w:val="Quote"/>
    <w:uiPriority w:val="29"/>
    <w:rsid w:val="006B1FED"/>
    <w:rPr>
      <w:i/>
      <w:iCs/>
      <w:color w:val="404040" w:themeColor="text1" w:themeTint="BF"/>
    </w:rPr>
  </w:style>
  <w:style w:type="paragraph" w:styleId="ListParagraph">
    <w:name w:val="List Paragraph"/>
    <w:basedOn w:val="Normal"/>
    <w:uiPriority w:val="34"/>
    <w:qFormat/>
    <w:rsid w:val="006B1FED"/>
    <w:pPr>
      <w:ind w:left="720"/>
      <w:contextualSpacing/>
    </w:pPr>
  </w:style>
  <w:style w:type="character" w:styleId="IntenseEmphasis">
    <w:name w:val="Intense Emphasis"/>
    <w:basedOn w:val="DefaultParagraphFont"/>
    <w:uiPriority w:val="21"/>
    <w:qFormat/>
    <w:rsid w:val="006B1FED"/>
    <w:rPr>
      <w:i/>
      <w:iCs/>
      <w:color w:val="0F4761" w:themeColor="accent1" w:themeShade="BF"/>
    </w:rPr>
  </w:style>
  <w:style w:type="paragraph" w:styleId="IntenseQuote">
    <w:name w:val="Intense Quote"/>
    <w:basedOn w:val="Normal"/>
    <w:next w:val="Normal"/>
    <w:link w:val="IntenseQuoteChar"/>
    <w:uiPriority w:val="30"/>
    <w:qFormat/>
    <w:rsid w:val="006B1F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1FED"/>
    <w:rPr>
      <w:i/>
      <w:iCs/>
      <w:color w:val="0F4761" w:themeColor="accent1" w:themeShade="BF"/>
    </w:rPr>
  </w:style>
  <w:style w:type="character" w:styleId="IntenseReference">
    <w:name w:val="Intense Reference"/>
    <w:basedOn w:val="DefaultParagraphFont"/>
    <w:uiPriority w:val="32"/>
    <w:qFormat/>
    <w:rsid w:val="006B1FED"/>
    <w:rPr>
      <w:b/>
      <w:bCs/>
      <w:smallCaps/>
      <w:color w:val="0F4761" w:themeColor="accent1" w:themeShade="BF"/>
      <w:spacing w:val="5"/>
    </w:rPr>
  </w:style>
  <w:style w:type="character" w:styleId="FootnoteReference">
    <w:name w:val="footnote reference"/>
    <w:basedOn w:val="DefaultParagraphFont"/>
    <w:uiPriority w:val="99"/>
    <w:rsid w:val="006B1FED"/>
    <w:rPr>
      <w:vertAlign w:val="superscript"/>
    </w:rPr>
  </w:style>
  <w:style w:type="paragraph" w:styleId="FootnoteText">
    <w:name w:val="footnote text"/>
    <w:basedOn w:val="Normal"/>
    <w:link w:val="FootnoteTextChar"/>
    <w:uiPriority w:val="99"/>
    <w:semiHidden/>
    <w:rsid w:val="006B1FE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6B1FED"/>
    <w:rPr>
      <w:rFonts w:ascii="Times New Roman" w:eastAsia="Times New Roman" w:hAnsi="Times New Roman" w:cs="Times New Roman"/>
      <w:kern w:val="0"/>
      <w:sz w:val="20"/>
      <w:szCs w:val="20"/>
      <w14:ligatures w14:val="none"/>
    </w:rPr>
  </w:style>
  <w:style w:type="paragraph" w:customStyle="1" w:styleId="BodyText1">
    <w:name w:val="Body Text1"/>
    <w:link w:val="BodytextChar"/>
    <w:rsid w:val="006B1FED"/>
    <w:pPr>
      <w:spacing w:before="120" w:after="120" w:line="240" w:lineRule="auto"/>
    </w:pPr>
    <w:rPr>
      <w:rFonts w:ascii="Times New Roman" w:eastAsia="Times New Roman" w:hAnsi="Times New Roman" w:cs="Times New Roman"/>
      <w:kern w:val="0"/>
      <w:sz w:val="22"/>
      <w14:ligatures w14:val="none"/>
    </w:rPr>
  </w:style>
  <w:style w:type="character" w:customStyle="1" w:styleId="BodytextChar">
    <w:name w:val="Body text Char"/>
    <w:link w:val="BodyText1"/>
    <w:rsid w:val="006B1FED"/>
    <w:rPr>
      <w:rFonts w:ascii="Times New Roman" w:eastAsia="Times New Roman" w:hAnsi="Times New Roman" w:cs="Times New Roman"/>
      <w:kern w:val="0"/>
      <w:sz w:val="22"/>
      <w14:ligatures w14:val="none"/>
    </w:rPr>
  </w:style>
  <w:style w:type="paragraph" w:styleId="Header">
    <w:name w:val="header"/>
    <w:basedOn w:val="Normal"/>
    <w:link w:val="HeaderChar"/>
    <w:uiPriority w:val="99"/>
    <w:unhideWhenUsed/>
    <w:rsid w:val="00C93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88C"/>
    <w:rPr>
      <w:kern w:val="0"/>
      <w:sz w:val="22"/>
      <w:szCs w:val="22"/>
      <w14:ligatures w14:val="none"/>
    </w:rPr>
  </w:style>
  <w:style w:type="paragraph" w:styleId="Footer">
    <w:name w:val="footer"/>
    <w:basedOn w:val="Normal"/>
    <w:link w:val="FooterChar"/>
    <w:uiPriority w:val="99"/>
    <w:unhideWhenUsed/>
    <w:rsid w:val="00C93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88C"/>
    <w:rPr>
      <w:kern w:val="0"/>
      <w:sz w:val="22"/>
      <w:szCs w:val="22"/>
      <w14:ligatures w14:val="none"/>
    </w:rPr>
  </w:style>
  <w:style w:type="paragraph" w:styleId="BodyText">
    <w:name w:val="Body Text"/>
    <w:basedOn w:val="Normal"/>
    <w:link w:val="BodyTextChar0"/>
    <w:uiPriority w:val="1"/>
    <w:qFormat/>
    <w:rsid w:val="001F05BF"/>
    <w:pPr>
      <w:spacing w:before="120" w:after="120" w:line="240" w:lineRule="auto"/>
    </w:pPr>
    <w:rPr>
      <w:rFonts w:ascii="Arial" w:eastAsia="Times New Roman" w:hAnsi="Arial" w:cs="Times New Roman"/>
      <w:szCs w:val="20"/>
    </w:rPr>
  </w:style>
  <w:style w:type="character" w:customStyle="1" w:styleId="BodyTextChar0">
    <w:name w:val="Body Text Char"/>
    <w:basedOn w:val="DefaultParagraphFont"/>
    <w:link w:val="BodyText"/>
    <w:uiPriority w:val="1"/>
    <w:rsid w:val="001F05BF"/>
    <w:rPr>
      <w:rFonts w:ascii="Arial" w:eastAsia="Times New Roman" w:hAnsi="Arial" w:cs="Times New Roman"/>
      <w:kern w:val="0"/>
      <w:sz w:val="22"/>
      <w:szCs w:val="20"/>
      <w14:ligatures w14:val="none"/>
    </w:rPr>
  </w:style>
  <w:style w:type="paragraph" w:styleId="TOCHeading">
    <w:name w:val="TOC Heading"/>
    <w:basedOn w:val="Heading1"/>
    <w:next w:val="Normal"/>
    <w:uiPriority w:val="39"/>
    <w:unhideWhenUsed/>
    <w:qFormat/>
    <w:rsid w:val="00A549B7"/>
    <w:pPr>
      <w:spacing w:before="240" w:after="0"/>
      <w:outlineLvl w:val="9"/>
    </w:pPr>
    <w:rPr>
      <w:sz w:val="32"/>
      <w:szCs w:val="32"/>
    </w:rPr>
  </w:style>
  <w:style w:type="paragraph" w:styleId="TOC1">
    <w:name w:val="toc 1"/>
    <w:basedOn w:val="Normal"/>
    <w:next w:val="Normal"/>
    <w:autoRedefine/>
    <w:uiPriority w:val="39"/>
    <w:unhideWhenUsed/>
    <w:rsid w:val="00A549B7"/>
    <w:pPr>
      <w:spacing w:after="100"/>
    </w:pPr>
  </w:style>
  <w:style w:type="paragraph" w:styleId="TOC2">
    <w:name w:val="toc 2"/>
    <w:basedOn w:val="Normal"/>
    <w:next w:val="Normal"/>
    <w:autoRedefine/>
    <w:uiPriority w:val="39"/>
    <w:unhideWhenUsed/>
    <w:rsid w:val="00A549B7"/>
    <w:pPr>
      <w:spacing w:after="100"/>
      <w:ind w:left="220"/>
    </w:pPr>
  </w:style>
  <w:style w:type="paragraph" w:styleId="TOC3">
    <w:name w:val="toc 3"/>
    <w:basedOn w:val="Normal"/>
    <w:next w:val="Normal"/>
    <w:autoRedefine/>
    <w:uiPriority w:val="39"/>
    <w:unhideWhenUsed/>
    <w:rsid w:val="00A549B7"/>
    <w:pPr>
      <w:spacing w:after="100"/>
      <w:ind w:left="440"/>
    </w:pPr>
  </w:style>
  <w:style w:type="character" w:styleId="Hyperlink">
    <w:name w:val="Hyperlink"/>
    <w:basedOn w:val="DefaultParagraphFont"/>
    <w:uiPriority w:val="99"/>
    <w:unhideWhenUsed/>
    <w:rsid w:val="00A549B7"/>
    <w:rPr>
      <w:color w:val="467886" w:themeColor="hyperlink"/>
      <w:u w:val="single"/>
    </w:rPr>
  </w:style>
  <w:style w:type="character" w:styleId="CommentReference">
    <w:name w:val="annotation reference"/>
    <w:basedOn w:val="DefaultParagraphFont"/>
    <w:uiPriority w:val="99"/>
    <w:semiHidden/>
    <w:unhideWhenUsed/>
    <w:rsid w:val="001D75A4"/>
    <w:rPr>
      <w:sz w:val="16"/>
      <w:szCs w:val="16"/>
    </w:rPr>
  </w:style>
  <w:style w:type="paragraph" w:styleId="CommentText">
    <w:name w:val="annotation text"/>
    <w:basedOn w:val="Normal"/>
    <w:link w:val="CommentTextChar"/>
    <w:uiPriority w:val="99"/>
    <w:unhideWhenUsed/>
    <w:rsid w:val="001D75A4"/>
    <w:pPr>
      <w:spacing w:line="240" w:lineRule="auto"/>
    </w:pPr>
    <w:rPr>
      <w:sz w:val="20"/>
      <w:szCs w:val="20"/>
    </w:rPr>
  </w:style>
  <w:style w:type="character" w:customStyle="1" w:styleId="CommentTextChar">
    <w:name w:val="Comment Text Char"/>
    <w:basedOn w:val="DefaultParagraphFont"/>
    <w:link w:val="CommentText"/>
    <w:uiPriority w:val="99"/>
    <w:rsid w:val="001D75A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D75A4"/>
    <w:rPr>
      <w:b/>
      <w:bCs/>
    </w:rPr>
  </w:style>
  <w:style w:type="character" w:customStyle="1" w:styleId="CommentSubjectChar">
    <w:name w:val="Comment Subject Char"/>
    <w:basedOn w:val="CommentTextChar"/>
    <w:link w:val="CommentSubject"/>
    <w:uiPriority w:val="99"/>
    <w:semiHidden/>
    <w:rsid w:val="001D75A4"/>
    <w:rPr>
      <w:b/>
      <w:bCs/>
      <w:kern w:val="0"/>
      <w:sz w:val="20"/>
      <w:szCs w:val="20"/>
      <w14:ligatures w14:val="none"/>
    </w:rPr>
  </w:style>
  <w:style w:type="paragraph" w:styleId="Revision">
    <w:name w:val="Revision"/>
    <w:hidden/>
    <w:uiPriority w:val="99"/>
    <w:semiHidden/>
    <w:rsid w:val="00B141B7"/>
    <w:pPr>
      <w:spacing w:after="0" w:line="240" w:lineRule="auto"/>
    </w:pPr>
    <w:rPr>
      <w:kern w:val="0"/>
      <w:sz w:val="22"/>
      <w:szCs w:val="22"/>
      <w14:ligatures w14:val="none"/>
    </w:rPr>
  </w:style>
  <w:style w:type="character" w:customStyle="1" w:styleId="wacimagecontainer">
    <w:name w:val="wacimagecontainer"/>
    <w:basedOn w:val="DefaultParagraphFont"/>
    <w:rsid w:val="00084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F4879AA360C2488141843A88C40425" ma:contentTypeVersion="19" ma:contentTypeDescription="Create a new document." ma:contentTypeScope="" ma:versionID="24e2d1a9de19ef0c5962d3b4f7268df7">
  <xsd:schema xmlns:xsd="http://www.w3.org/2001/XMLSchema" xmlns:xs="http://www.w3.org/2001/XMLSchema" xmlns:p="http://schemas.microsoft.com/office/2006/metadata/properties" xmlns:ns2="200b0d81-4208-44a2-9ca8-53f5800a23c0" xmlns:ns3="d24329e6-6b67-4b0f-86cf-ff993f43ea83" targetNamespace="http://schemas.microsoft.com/office/2006/metadata/properties" ma:root="true" ma:fieldsID="6ab7c68f134e19eb0a907e3ff4cadb98" ns2:_="" ns3:_="">
    <xsd:import namespace="200b0d81-4208-44a2-9ca8-53f5800a23c0"/>
    <xsd:import namespace="d24329e6-6b67-4b0f-86cf-ff993f43ea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b0d81-4208-44a2-9ca8-53f5800a2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767909-3d99-4411-ab93-8d862490eb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4329e6-6b67-4b0f-86cf-ff993f43ea8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776a119-59fe-41e9-a26c-ab818b706ff5}" ma:internalName="TaxCatchAll" ma:showField="CatchAllData" ma:web="d24329e6-6b67-4b0f-86cf-ff993f43e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24329e6-6b67-4b0f-86cf-ff993f43ea83" xsi:nil="true"/>
    <lcf76f155ced4ddcb4097134ff3c332f xmlns="200b0d81-4208-44a2-9ca8-53f5800a23c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5DD020-847C-4377-974A-DF4F17E39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b0d81-4208-44a2-9ca8-53f5800a23c0"/>
    <ds:schemaRef ds:uri="d24329e6-6b67-4b0f-86cf-ff993f43e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D45523-6F51-4007-B860-3EDA58FDF3ED}">
  <ds:schemaRefs>
    <ds:schemaRef ds:uri="http://schemas.openxmlformats.org/officeDocument/2006/bibliography"/>
  </ds:schemaRefs>
</ds:datastoreItem>
</file>

<file path=customXml/itemProps3.xml><?xml version="1.0" encoding="utf-8"?>
<ds:datastoreItem xmlns:ds="http://schemas.openxmlformats.org/officeDocument/2006/customXml" ds:itemID="{E0A0955A-D6DF-4FEB-AA73-2980747E3EA0}">
  <ds:schemaRefs>
    <ds:schemaRef ds:uri="http://schemas.microsoft.com/office/2006/metadata/properties"/>
    <ds:schemaRef ds:uri="http://schemas.microsoft.com/office/infopath/2007/PartnerControls"/>
    <ds:schemaRef ds:uri="d24329e6-6b67-4b0f-86cf-ff993f43ea83"/>
    <ds:schemaRef ds:uri="200b0d81-4208-44a2-9ca8-53f5800a23c0"/>
  </ds:schemaRefs>
</ds:datastoreItem>
</file>

<file path=customXml/itemProps4.xml><?xml version="1.0" encoding="utf-8"?>
<ds:datastoreItem xmlns:ds="http://schemas.openxmlformats.org/officeDocument/2006/customXml" ds:itemID="{F344F3EC-19BC-4FC1-8651-5D2FC6355B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1208</Words>
  <Characters>6891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Becker, Melissa</dc:creator>
  <cp:keywords/>
  <dc:description/>
  <cp:lastModifiedBy>Becker, Melissa</cp:lastModifiedBy>
  <cp:revision>2</cp:revision>
  <dcterms:created xsi:type="dcterms:W3CDTF">2026-07-08T19:46:00Z</dcterms:created>
  <dcterms:modified xsi:type="dcterms:W3CDTF">2026-07-08T19:46:00Z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0x010100F6F4879AA360C2488141843A88C40425</vt:lpwstr>
  </property>
  <property fmtid="{D5CDD505-2E9C-101B-9397-08002B2CF9AE}" pid="3" name="MediaServiceImageTags">
    <vt:lpwstr/>
  </property>
</Properties>
</file>